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589ABE80" w14:textId="6C7791FA" w:rsidR="00C47683" w:rsidRDefault="0047783A" w:rsidP="005B7998">
      <w:pPr>
        <w:pStyle w:val="Title"/>
        <w:jc w:val="left"/>
        <w:rPr>
          <w:sz w:val="22"/>
          <w:lang w:val="en-GB"/>
        </w:rPr>
      </w:pPr>
      <w:r w:rsidRPr="006A5F84">
        <w:rPr>
          <w:sz w:val="22"/>
          <w:szCs w:val="22"/>
          <w:lang w:val="en-GB"/>
        </w:rPr>
        <w:t>Publication reference:</w:t>
      </w:r>
      <w:r w:rsidR="00B94D54">
        <w:rPr>
          <w:sz w:val="22"/>
          <w:szCs w:val="22"/>
          <w:lang w:val="en-GB"/>
        </w:rPr>
        <w:t xml:space="preserve"> </w:t>
      </w:r>
      <w:r w:rsidR="00DD62AF" w:rsidRPr="00DD62AF">
        <w:rPr>
          <w:sz w:val="22"/>
          <w:lang w:val="en-GB"/>
        </w:rPr>
        <w:t>EC-ENEST/ANK/2025/EA-LOP/0176</w:t>
      </w:r>
    </w:p>
    <w:p w14:paraId="5FC9769D" w14:textId="074AB8A8" w:rsidR="0047783A" w:rsidRPr="006A5F84" w:rsidRDefault="0047783A" w:rsidP="005B7998">
      <w:pPr>
        <w:pStyle w:val="Title"/>
        <w:jc w:val="left"/>
        <w:rPr>
          <w:b w:val="0"/>
          <w:sz w:val="22"/>
          <w:szCs w:val="22"/>
        </w:rPr>
      </w:pPr>
      <w:r w:rsidRPr="006A5F84">
        <w:rPr>
          <w:sz w:val="22"/>
          <w:szCs w:val="22"/>
          <w:lang w:val="en-GB"/>
        </w:rPr>
        <w:t xml:space="preserve">Title of contract: </w:t>
      </w:r>
      <w:r w:rsidR="005B7998" w:rsidRPr="000F252E">
        <w:rPr>
          <w:bCs/>
          <w:sz w:val="22"/>
          <w:szCs w:val="22"/>
          <w:lang w:val="en-GB"/>
        </w:rPr>
        <w:t>Post-Earthquake Transport Recovery Action</w:t>
      </w:r>
      <w:r w:rsidR="005B7998">
        <w:rPr>
          <w:bCs/>
          <w:sz w:val="22"/>
          <w:szCs w:val="22"/>
          <w:lang w:val="en-GB"/>
        </w:rPr>
        <w:t xml:space="preserve"> </w:t>
      </w:r>
      <w:r w:rsidR="005B7998" w:rsidRPr="000F252E">
        <w:rPr>
          <w:bCs/>
          <w:sz w:val="22"/>
          <w:szCs w:val="22"/>
          <w:lang w:val="en-GB"/>
        </w:rPr>
        <w:t xml:space="preserve">(PETRA) in </w:t>
      </w:r>
      <w:proofErr w:type="spellStart"/>
      <w:r w:rsidR="005B7998" w:rsidRPr="000F252E">
        <w:rPr>
          <w:bCs/>
          <w:sz w:val="22"/>
          <w:szCs w:val="22"/>
          <w:lang w:val="en-GB"/>
        </w:rPr>
        <w:t>Kahramanmara</w:t>
      </w:r>
      <w:r w:rsidR="005B7998">
        <w:rPr>
          <w:bCs/>
          <w:sz w:val="22"/>
          <w:szCs w:val="22"/>
          <w:lang w:val="en-GB"/>
        </w:rPr>
        <w:t>ş</w:t>
      </w:r>
      <w:proofErr w:type="spellEnd"/>
      <w:r w:rsidR="005B7998">
        <w:rPr>
          <w:bCs/>
          <w:sz w:val="22"/>
          <w:szCs w:val="22"/>
          <w:lang w:val="en-GB"/>
        </w:rPr>
        <w:t>- Lot 2</w:t>
      </w:r>
      <w:r w:rsidR="005B7998" w:rsidRPr="000F252E">
        <w:rPr>
          <w:bCs/>
          <w:sz w:val="22"/>
          <w:szCs w:val="22"/>
          <w:lang w:val="en-GB"/>
        </w:rPr>
        <w:t xml:space="preserve"> (TR14SPL305)</w:t>
      </w:r>
      <w:r w:rsidR="005B7998">
        <w:rPr>
          <w:bCs/>
          <w:sz w:val="22"/>
          <w:szCs w:val="22"/>
          <w:lang w:val="en-GB"/>
        </w:rPr>
        <w:t xml:space="preserve"> </w:t>
      </w:r>
      <w:r w:rsidRPr="006A5F84">
        <w:rPr>
          <w:sz w:val="22"/>
          <w:szCs w:val="22"/>
        </w:rPr>
        <w:t>&lt;</w:t>
      </w:r>
      <w:r w:rsidRPr="002D59A9">
        <w:rPr>
          <w:sz w:val="22"/>
          <w:szCs w:val="22"/>
          <w:highlight w:val="yellow"/>
        </w:rPr>
        <w:t>Place and date</w:t>
      </w:r>
      <w:r w:rsidRPr="006A5F84">
        <w:rPr>
          <w:sz w:val="22"/>
          <w:szCs w:val="22"/>
        </w:rPr>
        <w:t>&gt;</w:t>
      </w:r>
    </w:p>
    <w:p w14:paraId="4ED85AAC"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5020EE">
      <w:pPr>
        <w:pStyle w:val="Blockquote"/>
        <w:spacing w:before="0" w:after="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5020EE">
      <w:pPr>
        <w:pStyle w:val="Blockquote"/>
        <w:spacing w:before="0" w:after="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w:t>
      </w:r>
      <w:proofErr w:type="gramStart"/>
      <w:r w:rsidRPr="003A40CF">
        <w:rPr>
          <w:sz w:val="22"/>
          <w:szCs w:val="22"/>
          <w:highlight w:val="yellow"/>
          <w:lang w:val="en-GB"/>
        </w:rPr>
        <w:t>legally-established</w:t>
      </w:r>
      <w:proofErr w:type="gramEnd"/>
      <w:r w:rsidRPr="003A40CF">
        <w:rPr>
          <w:sz w:val="22"/>
          <w:szCs w:val="22"/>
          <w:highlight w:val="yellow"/>
          <w:lang w:val="en-GB"/>
        </w:rPr>
        <w:t xml:space="preserve">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2E6F71D" w:rsidR="000714DC" w:rsidRDefault="000714DC" w:rsidP="005020EE">
      <w:pPr>
        <w:pStyle w:val="Blockquote"/>
        <w:spacing w:before="0" w:after="240"/>
        <w:ind w:left="0" w:right="0"/>
        <w:jc w:val="both"/>
        <w:rPr>
          <w:sz w:val="22"/>
          <w:szCs w:val="22"/>
          <w:highlight w:val="yellow"/>
          <w:lang w:val="en-GB"/>
        </w:rPr>
      </w:pPr>
      <w:r w:rsidRPr="00761C1D">
        <w:rPr>
          <w:sz w:val="22"/>
          <w:szCs w:val="22"/>
          <w:highlight w:val="yellow"/>
          <w:lang w:val="en-GB"/>
        </w:rPr>
        <w:t>In</w:t>
      </w:r>
      <w:r w:rsidRPr="001D5D2F">
        <w:rPr>
          <w:sz w:val="22"/>
          <w:szCs w:val="22"/>
          <w:highlight w:val="yellow"/>
          <w:lang w:val="en-GB"/>
        </w:rPr>
        <w:t xml:space="preserve">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w:t>
      </w:r>
      <w:r w:rsidRPr="005020EE">
        <w:rPr>
          <w:b/>
          <w:bCs/>
          <w:sz w:val="22"/>
          <w:szCs w:val="22"/>
          <w:highlight w:val="yellow"/>
          <w:lang w:val="en-GB"/>
        </w:rPr>
        <w:t>post</w:t>
      </w:r>
      <w:r w:rsidRPr="001D5D2F">
        <w:rPr>
          <w:sz w:val="22"/>
          <w:szCs w:val="22"/>
          <w:highlight w:val="yellow"/>
          <w:lang w:val="en-GB"/>
        </w:rPr>
        <w:t xml:space="preserve"> or </w:t>
      </w:r>
      <w:r w:rsidRPr="005020EE">
        <w:rPr>
          <w:b/>
          <w:bCs/>
          <w:sz w:val="22"/>
          <w:szCs w:val="22"/>
          <w:highlight w:val="yellow"/>
          <w:lang w:val="en-GB"/>
        </w:rPr>
        <w:t>courier</w:t>
      </w:r>
      <w:r w:rsidRPr="001D5D2F">
        <w:rPr>
          <w:sz w:val="22"/>
          <w:szCs w:val="22"/>
          <w:highlight w:val="yellow"/>
          <w:lang w:val="en-GB"/>
        </w:rPr>
        <w:t xml:space="preserve"> or </w:t>
      </w:r>
      <w:r w:rsidRPr="005020EE">
        <w:rPr>
          <w:b/>
          <w:bCs/>
          <w:sz w:val="22"/>
          <w:szCs w:val="22"/>
          <w:highlight w:val="yellow"/>
          <w:lang w:val="en-GB"/>
        </w:rPr>
        <w:t>hand delivered</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r w:rsidR="00B94D54" w:rsidRPr="003A40CF">
        <w:rPr>
          <w:sz w:val="22"/>
          <w:szCs w:val="22"/>
          <w:highlight w:val="yellow"/>
          <w:lang w:val="en-GB"/>
        </w:rPr>
        <w:t>recommended</w:t>
      </w:r>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67823205" w:rsidR="000714DC" w:rsidRDefault="000714DC" w:rsidP="005020EE">
      <w:pPr>
        <w:pStyle w:val="Blockquote"/>
        <w:spacing w:before="0" w:after="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568D5B81" w14:textId="42E18920" w:rsidR="00CF1B10" w:rsidRPr="00CF1B10" w:rsidRDefault="00CF1B10" w:rsidP="005020EE">
      <w:pPr>
        <w:pStyle w:val="Blockquote"/>
        <w:spacing w:before="0" w:after="240"/>
        <w:ind w:left="0" w:right="0"/>
        <w:jc w:val="both"/>
        <w:rPr>
          <w:bCs/>
          <w:sz w:val="22"/>
          <w:szCs w:val="22"/>
          <w:highlight w:val="yellow"/>
          <w:lang w:val="en-GB"/>
        </w:rPr>
      </w:pPr>
      <w:r w:rsidRPr="00761C1D">
        <w:rPr>
          <w:bCs/>
          <w:sz w:val="22"/>
          <w:szCs w:val="22"/>
          <w:highlight w:val="yellow"/>
          <w:lang w:val="en-GB"/>
        </w:rPr>
        <w:t>In</w:t>
      </w:r>
      <w:r w:rsidRPr="003271A0">
        <w:rPr>
          <w:bCs/>
          <w:sz w:val="22"/>
          <w:szCs w:val="22"/>
          <w:highlight w:val="yellow"/>
          <w:lang w:val="en-GB"/>
        </w:rPr>
        <w:t xml:space="preserve"> case the instructions to tenderers (see section </w:t>
      </w:r>
      <w:r>
        <w:rPr>
          <w:bCs/>
          <w:sz w:val="22"/>
          <w:szCs w:val="22"/>
          <w:highlight w:val="yellow"/>
          <w:lang w:val="en-GB"/>
        </w:rPr>
        <w:t>10</w:t>
      </w:r>
      <w:r w:rsidRPr="003271A0">
        <w:rPr>
          <w:bCs/>
          <w:sz w:val="22"/>
          <w:szCs w:val="22"/>
          <w:highlight w:val="yellow"/>
          <w:lang w:val="en-GB"/>
        </w:rPr>
        <w:t xml:space="preserve">) state that the tender should be submitted </w:t>
      </w:r>
      <w:r>
        <w:rPr>
          <w:bCs/>
          <w:sz w:val="22"/>
          <w:szCs w:val="22"/>
          <w:highlight w:val="yellow"/>
          <w:lang w:val="en-GB"/>
        </w:rPr>
        <w:t>via</w:t>
      </w:r>
      <w:r w:rsidRPr="003271A0">
        <w:rPr>
          <w:bCs/>
          <w:sz w:val="22"/>
          <w:szCs w:val="22"/>
          <w:highlight w:val="yellow"/>
          <w:lang w:val="en-GB"/>
        </w:rPr>
        <w:t xml:space="preserve"> </w:t>
      </w:r>
      <w:r w:rsidRPr="004015C2">
        <w:rPr>
          <w:b/>
          <w:sz w:val="22"/>
          <w:szCs w:val="22"/>
          <w:highlight w:val="yellow"/>
          <w:lang w:val="en-GB"/>
        </w:rPr>
        <w:t>e-mail</w:t>
      </w:r>
      <w:r w:rsidRPr="003271A0">
        <w:rPr>
          <w:bCs/>
          <w:sz w:val="22"/>
          <w:szCs w:val="22"/>
          <w:highlight w:val="yellow"/>
          <w:lang w:val="en-GB"/>
        </w:rPr>
        <w:t xml:space="preserve">: declarations and statements shall be signed, scanned and must only be sent to the contracting authority upon request. </w:t>
      </w:r>
    </w:p>
    <w:p w14:paraId="2E9DB994" w14:textId="77777777" w:rsidR="000714DC" w:rsidRPr="001A15F8" w:rsidRDefault="000714DC" w:rsidP="005020EE">
      <w:pPr>
        <w:pStyle w:val="Blockquote"/>
        <w:spacing w:before="0" w:after="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5020EE">
      <w:pPr>
        <w:pStyle w:val="Blockquote"/>
        <w:spacing w:before="0" w:after="480"/>
        <w:ind w:left="0" w:right="0"/>
        <w:jc w:val="both"/>
        <w:rPr>
          <w:b/>
          <w:bCs/>
          <w:sz w:val="22"/>
          <w:szCs w:val="22"/>
        </w:rPr>
      </w:pPr>
      <w:r>
        <w:rPr>
          <w:b/>
          <w:bCs/>
          <w:sz w:val="22"/>
          <w:szCs w:val="22"/>
          <w:highlight w:val="yellow"/>
        </w:rPr>
        <w:t>Delete this section highlighted in yellow after having completed all instructions.]</w:t>
      </w: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w:t>
      </w:r>
      <w:r>
        <w:rPr>
          <w:sz w:val="22"/>
          <w:szCs w:val="22"/>
        </w:rPr>
        <w:lastRenderedPageBreak/>
        <w:t xml:space="preserve">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p w14:paraId="4B604906" w14:textId="77777777" w:rsidR="00C37580" w:rsidRPr="00C37580" w:rsidRDefault="00C37580" w:rsidP="00C37580">
      <w:pPr>
        <w:spacing w:after="0"/>
        <w:rPr>
          <w:vanish/>
        </w:rPr>
      </w:pPr>
      <w:bookmarkStart w:id="7" w:name="_Hlk184308783"/>
    </w:p>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tbl>
    <w:bookmarkEnd w:id="7"/>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lastRenderedPageBreak/>
              <w:t>Address</w:t>
            </w:r>
          </w:p>
        </w:tc>
        <w:tc>
          <w:tcPr>
            <w:tcW w:w="5637" w:type="dxa"/>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77777777"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62F8F19"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76C1451F"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Pr="00F12CE1" w:rsidRDefault="00B34C65" w:rsidP="005020EE">
            <w:pPr>
              <w:widowControl w:val="0"/>
              <w:spacing w:before="60" w:afterLines="60" w:after="144"/>
              <w:jc w:val="center"/>
              <w:rPr>
                <w:b/>
                <w:highlight w:val="lightGray"/>
              </w:rPr>
            </w:pPr>
            <w:r w:rsidRPr="00F12CE1">
              <w:rPr>
                <w:b/>
                <w:highlight w:val="lightGray"/>
              </w:rPr>
              <w:t>[Past year</w:t>
            </w:r>
          </w:p>
          <w:p w14:paraId="0B3C0E60" w14:textId="77777777" w:rsidR="00B34C65" w:rsidRPr="00350632" w:rsidRDefault="00B34C65" w:rsidP="005020EE">
            <w:pPr>
              <w:widowControl w:val="0"/>
              <w:spacing w:before="60" w:afterLines="60" w:after="144"/>
              <w:jc w:val="center"/>
              <w:rPr>
                <w:b/>
              </w:rPr>
            </w:pPr>
            <w:r w:rsidRPr="00F12CE1">
              <w:rPr>
                <w:b/>
                <w:highlight w:val="lightGray"/>
              </w:rPr>
              <w:t>€</w:t>
            </w:r>
            <w:r w:rsidRPr="00350632">
              <w:rPr>
                <w:b/>
              </w:rPr>
              <w:t xml:space="preserve"> </w:t>
            </w:r>
            <w:r w:rsidRPr="00F12CE1">
              <w:rPr>
                <w:b/>
                <w:highlight w:val="lightGray"/>
              </w:rPr>
              <w:t>]</w:t>
            </w:r>
            <w:r w:rsidRPr="00350632">
              <w:rPr>
                <w:b/>
              </w:rPr>
              <w:t>**</w:t>
            </w:r>
          </w:p>
        </w:tc>
        <w:tc>
          <w:tcPr>
            <w:tcW w:w="1136" w:type="dxa"/>
            <w:tcBorders>
              <w:bottom w:val="nil"/>
            </w:tcBorders>
            <w:shd w:val="pct5" w:color="auto" w:fill="FFFFFF"/>
          </w:tcPr>
          <w:p w14:paraId="1A0029CE" w14:textId="77777777" w:rsidR="00B34C65" w:rsidRPr="00F12CE1" w:rsidRDefault="00B34C65" w:rsidP="005020EE">
            <w:pPr>
              <w:keepNext/>
              <w:keepLines/>
              <w:widowControl w:val="0"/>
              <w:spacing w:before="60" w:afterLines="60" w:after="144"/>
              <w:jc w:val="center"/>
              <w:rPr>
                <w:b/>
                <w:highlight w:val="lightGray"/>
              </w:rPr>
            </w:pPr>
            <w:r w:rsidRPr="00F12CE1">
              <w:rPr>
                <w:b/>
                <w:highlight w:val="lightGray"/>
              </w:rPr>
              <w:t>[Current year</w:t>
            </w:r>
            <w:r w:rsidRPr="00F12CE1">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sidRPr="00F12CE1">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w:t>
            </w:r>
            <w:proofErr w:type="spellStart"/>
            <w:r w:rsidRPr="004D682B">
              <w:rPr>
                <w:lang w:val="fr-BE"/>
              </w:rPr>
              <w:t>Current</w:t>
            </w:r>
            <w:proofErr w:type="spellEnd"/>
            <w:r w:rsidRPr="004D682B">
              <w:rPr>
                <w:lang w:val="fr-BE"/>
              </w:rPr>
              <w:t xml:space="preserve"> ratio (</w:t>
            </w:r>
            <w:proofErr w:type="spellStart"/>
            <w:r w:rsidRPr="004D682B">
              <w:rPr>
                <w:lang w:val="fr-BE"/>
              </w:rPr>
              <w:t>current</w:t>
            </w:r>
            <w:proofErr w:type="spellEnd"/>
            <w:r w:rsidRPr="004D682B">
              <w:rPr>
                <w:lang w:val="fr-BE"/>
              </w:rPr>
              <w:t xml:space="preserve"> assets/</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12CE1">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w:t>
      </w:r>
      <w:proofErr w:type="gramStart"/>
      <w:r w:rsidR="000678EC">
        <w:rPr>
          <w:b/>
          <w:sz w:val="22"/>
          <w:szCs w:val="22"/>
        </w:rPr>
        <w:t xml:space="preserve">submit </w:t>
      </w:r>
      <w:r w:rsidR="00F61F0B" w:rsidRPr="00F61F0B">
        <w:rPr>
          <w:b/>
          <w:sz w:val="22"/>
          <w:szCs w:val="22"/>
        </w:rPr>
        <w:t xml:space="preserve"> the</w:t>
      </w:r>
      <w:proofErr w:type="gramEnd"/>
      <w:r w:rsidR="00F61F0B" w:rsidRPr="00F61F0B">
        <w:rPr>
          <w:b/>
          <w:sz w:val="22"/>
          <w:szCs w:val="22"/>
        </w:rPr>
        <w:t xml:space="preserv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2ABFE00A" w:rsidR="0047783A" w:rsidRPr="00F12CE1" w:rsidRDefault="0047783A" w:rsidP="005020EE">
      <w:pPr>
        <w:spacing w:after="200"/>
        <w:ind w:left="709" w:hanging="425"/>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w:t>
      </w:r>
      <w:r w:rsidR="001468E7">
        <w:rPr>
          <w:sz w:val="22"/>
          <w:szCs w:val="22"/>
          <w:highlight w:val="yellow"/>
        </w:rPr>
        <w:t>E</w:t>
      </w:r>
      <w:r w:rsidR="00002671">
        <w:rPr>
          <w:sz w:val="22"/>
          <w:szCs w:val="22"/>
          <w:highlight w:val="yellow"/>
        </w:rPr>
        <w:t xml:space="preserve">INSC </w:t>
      </w:r>
      <w:r w:rsidR="00002671" w:rsidRPr="00002671">
        <w:rPr>
          <w:sz w:val="22"/>
          <w:szCs w:val="22"/>
          <w:highlight w:val="yellow"/>
        </w:rPr>
        <w:t xml:space="preserve">Regulation </w:t>
      </w:r>
      <w:r w:rsidR="00002671" w:rsidRPr="00F81245">
        <w:rPr>
          <w:sz w:val="22"/>
          <w:szCs w:val="22"/>
          <w:highlight w:val="yellow"/>
        </w:rPr>
        <w:t xml:space="preserve">2021/948 of 27 May 2021 </w:t>
      </w:r>
      <w:r w:rsidR="001468E7" w:rsidRPr="001468E7">
        <w:rPr>
          <w:sz w:val="22"/>
          <w:szCs w:val="22"/>
          <w:highlight w:val="yellow"/>
        </w:rPr>
        <w:t xml:space="preserve">and by </w:t>
      </w:r>
      <w:r w:rsidR="001468E7" w:rsidRPr="001468E7">
        <w:rPr>
          <w:sz w:val="22"/>
          <w:szCs w:val="22"/>
          <w:highlight w:val="yellow"/>
          <w:lang w:val="en-US"/>
        </w:rPr>
        <w:t xml:space="preserve">Ukraine Facility 2024/792 </w:t>
      </w:r>
      <w:bookmarkStart w:id="12" w:name="_Hlk167461870"/>
      <w:r w:rsidR="001468E7" w:rsidRPr="001468E7">
        <w:rPr>
          <w:sz w:val="22"/>
          <w:szCs w:val="22"/>
          <w:highlight w:val="yellow"/>
          <w:lang w:val="en-US"/>
        </w:rPr>
        <w:t>of 29 February 2024</w:t>
      </w:r>
      <w:bookmarkEnd w:id="12"/>
      <w:r w:rsidR="001468E7">
        <w:rPr>
          <w:sz w:val="22"/>
          <w:szCs w:val="22"/>
          <w:highlight w:val="yellow"/>
          <w:lang w:val="en-US"/>
        </w:rPr>
        <w:t xml:space="preserve"> </w:t>
      </w:r>
      <w:r w:rsidR="00002671" w:rsidRPr="00F81245">
        <w:rPr>
          <w:sz w:val="22"/>
          <w:szCs w:val="22"/>
          <w:highlight w:val="yellow"/>
        </w:rPr>
        <w:t>under the multiannual financial framework 2021-2027</w:t>
      </w:r>
      <w:r w:rsidR="00657CEF" w:rsidRPr="004F0604">
        <w:rPr>
          <w:sz w:val="22"/>
          <w:szCs w:val="22"/>
          <w:highlight w:val="yellow"/>
        </w:rPr>
        <w:t>]</w:t>
      </w:r>
      <w:r w:rsidR="00657CEF" w:rsidRPr="00657CEF">
        <w:rPr>
          <w:b/>
          <w:sz w:val="22"/>
          <w:szCs w:val="22"/>
        </w:rPr>
        <w:t xml:space="preserve"> </w:t>
      </w:r>
      <w:r w:rsidRPr="00F12CE1">
        <w:rPr>
          <w:sz w:val="22"/>
          <w:szCs w:val="22"/>
          <w:highlight w:val="lightGray"/>
        </w:rPr>
        <w:t>We offer to deliver, in accordance with the terms of the tender dossier and the conditions and time limits laid down, without reserve or restriction:</w:t>
      </w:r>
    </w:p>
    <w:p w14:paraId="69FDCE5A" w14:textId="16C879FB" w:rsidR="00657CEF" w:rsidRDefault="00657CEF" w:rsidP="005020EE">
      <w:pPr>
        <w:spacing w:after="240"/>
        <w:ind w:left="709"/>
        <w:jc w:val="both"/>
        <w:rPr>
          <w:b/>
          <w:sz w:val="22"/>
          <w:szCs w:val="22"/>
        </w:rPr>
      </w:pPr>
      <w:proofErr w:type="gramStart"/>
      <w:r w:rsidRPr="00F12CE1">
        <w:rPr>
          <w:sz w:val="22"/>
          <w:szCs w:val="22"/>
          <w:highlight w:val="lightGray"/>
        </w:rPr>
        <w:t>Lot :</w:t>
      </w:r>
      <w:proofErr w:type="gramEnd"/>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5CAB5D9" w14:textId="740B4235" w:rsidR="0047783A" w:rsidRPr="006A5F84" w:rsidRDefault="0047783A" w:rsidP="005020EE">
      <w:pPr>
        <w:spacing w:after="80"/>
        <w:ind w:left="709"/>
        <w:jc w:val="both"/>
        <w:rPr>
          <w:sz w:val="22"/>
          <w:szCs w:val="22"/>
        </w:rPr>
      </w:pPr>
      <w:r w:rsidRPr="006A5F84">
        <w:rPr>
          <w:sz w:val="22"/>
          <w:szCs w:val="22"/>
        </w:rPr>
        <w:t xml:space="preserve">Lot: </w:t>
      </w:r>
      <w:r w:rsidR="008431A6">
        <w:rPr>
          <w:sz w:val="22"/>
          <w:szCs w:val="22"/>
        </w:rPr>
        <w:t>&lt;</w:t>
      </w:r>
      <w:r w:rsidR="008431A6" w:rsidRPr="002D59A9">
        <w:rPr>
          <w:sz w:val="22"/>
          <w:szCs w:val="22"/>
          <w:highlight w:val="yellow"/>
        </w:rPr>
        <w:t>insert price and currency</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F12CE1">
        <w:rPr>
          <w:sz w:val="22"/>
          <w:szCs w:val="22"/>
          <w:highlight w:val="lightGray"/>
        </w:rPr>
        <w:t xml:space="preserve">[in the event of our being awarded </w:t>
      </w:r>
      <w:r w:rsidR="00B253B3" w:rsidRPr="00F12CE1">
        <w:rPr>
          <w:sz w:val="22"/>
          <w:szCs w:val="22"/>
          <w:highlight w:val="lightGray"/>
        </w:rPr>
        <w:t>l</w:t>
      </w:r>
      <w:r w:rsidRPr="00F12CE1">
        <w:rPr>
          <w:sz w:val="22"/>
          <w:szCs w:val="22"/>
          <w:highlight w:val="lightGray"/>
        </w:rPr>
        <w:t xml:space="preserve">ot … and </w:t>
      </w:r>
      <w:r w:rsidR="00B253B3" w:rsidRPr="00F12CE1">
        <w:rPr>
          <w:sz w:val="22"/>
          <w:szCs w:val="22"/>
          <w:highlight w:val="lightGray"/>
        </w:rPr>
        <w:t>l</w:t>
      </w:r>
      <w:r w:rsidRPr="00F12CE1">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F12CE1">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F12CE1">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F12CE1">
        <w:rPr>
          <w:sz w:val="22"/>
          <w:szCs w:val="22"/>
          <w:highlight w:val="lightGray"/>
        </w:rPr>
        <w:t>ourselves</w:t>
      </w:r>
      <w:r w:rsidRPr="006A5F84">
        <w:rPr>
          <w:sz w:val="22"/>
          <w:szCs w:val="22"/>
        </w:rPr>
        <w:t>]*. We confirm that we are not tendering for the same contract in any other form. [</w:t>
      </w:r>
      <w:r w:rsidRPr="00F12CE1">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F12CE1">
        <w:rPr>
          <w:sz w:val="22"/>
          <w:szCs w:val="22"/>
          <w:highlight w:val="lightGray"/>
        </w:rPr>
        <w:t>’</w:t>
      </w:r>
      <w:r w:rsidRPr="00F12CE1">
        <w:rPr>
          <w:sz w:val="22"/>
          <w:szCs w:val="22"/>
          <w:highlight w:val="lightGray"/>
        </w:rPr>
        <w:t>s execution].</w:t>
      </w:r>
      <w:r w:rsidR="006E4B07" w:rsidRPr="005020EE">
        <w:rPr>
          <w:sz w:val="22"/>
          <w:szCs w:val="22"/>
        </w:rPr>
        <w:t xml:space="preserve"> </w:t>
      </w:r>
      <w:bookmarkStart w:id="13" w:name="_Hlk160701039"/>
      <w:r w:rsidR="000678EC" w:rsidRPr="00F12CE1">
        <w:rPr>
          <w:sz w:val="22"/>
          <w:szCs w:val="22"/>
          <w:highlight w:val="lightGray"/>
        </w:rPr>
        <w:t>[</w:t>
      </w:r>
      <w:r w:rsidR="00675037" w:rsidRPr="00F12CE1">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3"/>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1DF9820F"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w:t>
      </w:r>
      <w:r w:rsidR="00B94D54">
        <w:rPr>
          <w:color w:val="000000"/>
          <w:sz w:val="22"/>
          <w:szCs w:val="22"/>
        </w:rPr>
        <w:t>subcontractors are</w:t>
      </w:r>
      <w:r>
        <w:rPr>
          <w:color w:val="000000"/>
          <w:sz w:val="22"/>
          <w:szCs w:val="22"/>
        </w:rPr>
        <w:t xml:space="preserv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4" w:name="_Hlk166059930"/>
      <w:r w:rsidR="00825026">
        <w:rPr>
          <w:sz w:val="22"/>
          <w:szCs w:val="22"/>
        </w:rPr>
        <w:t>and those of all entities involved in the performance of the contract</w:t>
      </w:r>
      <w:r w:rsidRPr="003F78F3">
        <w:rPr>
          <w:sz w:val="22"/>
          <w:szCs w:val="22"/>
        </w:rPr>
        <w:t xml:space="preserve"> </w:t>
      </w:r>
      <w:bookmarkEnd w:id="14"/>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F12CE1">
        <w:rPr>
          <w:sz w:val="22"/>
          <w:szCs w:val="22"/>
          <w:highlight w:val="lightGray"/>
        </w:rPr>
        <w:t xml:space="preserve">The following table contains our financial data as included in the consortium’s tender form. These data are based on our annual </w:t>
      </w:r>
      <w:r w:rsidR="00EF3666" w:rsidRPr="00F12CE1">
        <w:rPr>
          <w:sz w:val="22"/>
          <w:szCs w:val="22"/>
          <w:highlight w:val="lightGray"/>
        </w:rPr>
        <w:t>clos</w:t>
      </w:r>
      <w:r w:rsidRPr="00F12CE1">
        <w:rPr>
          <w:sz w:val="22"/>
          <w:szCs w:val="22"/>
          <w:highlight w:val="lightGray"/>
        </w:rPr>
        <w:t>ed accounts and our latest projections. Estimated figures (i</w:t>
      </w:r>
      <w:r w:rsidR="00BA70CB" w:rsidRPr="00F12CE1">
        <w:rPr>
          <w:sz w:val="22"/>
          <w:szCs w:val="22"/>
          <w:highlight w:val="lightGray"/>
        </w:rPr>
        <w:t>.</w:t>
      </w:r>
      <w:r w:rsidRPr="00F12CE1">
        <w:rPr>
          <w:sz w:val="22"/>
          <w:szCs w:val="22"/>
          <w:highlight w:val="lightGray"/>
        </w:rPr>
        <w:t>e</w:t>
      </w:r>
      <w:r w:rsidR="00BA70CB" w:rsidRPr="00F12CE1">
        <w:rPr>
          <w:sz w:val="22"/>
          <w:szCs w:val="22"/>
          <w:highlight w:val="lightGray"/>
        </w:rPr>
        <w:t>.</w:t>
      </w:r>
      <w:r w:rsidRPr="00F12CE1">
        <w:rPr>
          <w:sz w:val="22"/>
          <w:szCs w:val="22"/>
          <w:highlight w:val="lightGray"/>
        </w:rPr>
        <w:t xml:space="preserve"> those not included in annual </w:t>
      </w:r>
      <w:r w:rsidR="00EF3666" w:rsidRPr="00F12CE1">
        <w:rPr>
          <w:sz w:val="22"/>
          <w:szCs w:val="22"/>
          <w:highlight w:val="lightGray"/>
        </w:rPr>
        <w:t>clos</w:t>
      </w:r>
      <w:r w:rsidRPr="00F12CE1">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F12CE1">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lastRenderedPageBreak/>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Pr="00F12CE1" w:rsidRDefault="00B95E2A" w:rsidP="00FC4D25">
            <w:pPr>
              <w:widowControl w:val="0"/>
              <w:spacing w:beforeLines="60" w:before="144" w:afterLines="60" w:after="144"/>
              <w:jc w:val="center"/>
              <w:rPr>
                <w:b/>
                <w:highlight w:val="lightGray"/>
              </w:rPr>
            </w:pPr>
            <w:r w:rsidRPr="00F12CE1">
              <w:rPr>
                <w:b/>
                <w:highlight w:val="lightGray"/>
              </w:rPr>
              <w:t>Past year</w:t>
            </w:r>
          </w:p>
          <w:p w14:paraId="05887EDB" w14:textId="77777777" w:rsidR="00B95E2A" w:rsidRPr="005020EE" w:rsidRDefault="00B95E2A" w:rsidP="005020EE">
            <w:pPr>
              <w:keepNext/>
              <w:keepLines/>
              <w:widowControl w:val="0"/>
              <w:spacing w:beforeLines="60" w:before="144" w:afterLines="60" w:after="144"/>
              <w:jc w:val="center"/>
              <w:rPr>
                <w:b/>
              </w:rPr>
            </w:pPr>
            <w:r w:rsidRPr="00F12CE1">
              <w:rPr>
                <w:b/>
                <w:highlight w:val="lightGray"/>
              </w:rPr>
              <w:t>EUR</w:t>
            </w:r>
            <w:r w:rsidRPr="005020EE">
              <w:rPr>
                <w:b/>
              </w:rPr>
              <w:t>]</w:t>
            </w:r>
          </w:p>
        </w:tc>
        <w:tc>
          <w:tcPr>
            <w:tcW w:w="1276" w:type="dxa"/>
            <w:tcBorders>
              <w:bottom w:val="nil"/>
            </w:tcBorders>
            <w:shd w:val="pct5" w:color="auto" w:fill="FFFFFF"/>
          </w:tcPr>
          <w:p w14:paraId="60774F14" w14:textId="77777777" w:rsidR="00B95E2A" w:rsidRPr="00F12CE1" w:rsidRDefault="00B95E2A" w:rsidP="005020EE">
            <w:pPr>
              <w:widowControl w:val="0"/>
              <w:spacing w:beforeLines="60" w:before="144" w:afterLines="60" w:after="144"/>
              <w:jc w:val="center"/>
              <w:rPr>
                <w:b/>
                <w:highlight w:val="lightGray"/>
              </w:rPr>
            </w:pPr>
            <w:r w:rsidRPr="00F12CE1">
              <w:rPr>
                <w:b/>
                <w:highlight w:val="lightGray"/>
              </w:rPr>
              <w:t>[Current year</w:t>
            </w:r>
          </w:p>
          <w:p w14:paraId="5C21A2F5" w14:textId="77777777" w:rsidR="00B95E2A" w:rsidRPr="00F12CE1" w:rsidRDefault="00B95E2A" w:rsidP="005020EE">
            <w:pPr>
              <w:widowControl w:val="0"/>
              <w:spacing w:beforeLines="60" w:before="144" w:afterLines="60" w:after="144"/>
              <w:jc w:val="center"/>
              <w:rPr>
                <w:b/>
                <w:highlight w:val="lightGray"/>
              </w:rPr>
            </w:pPr>
            <w:r w:rsidRPr="00F12CE1">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sidRPr="00F12CE1">
              <w:rPr>
                <w:sz w:val="22"/>
                <w:szCs w:val="22"/>
                <w:highlight w:val="lightGray"/>
                <w:lang w:val="fr-BE"/>
              </w:rPr>
              <w:t>[</w:t>
            </w:r>
            <w:proofErr w:type="spellStart"/>
            <w:r w:rsidRPr="00F12CE1">
              <w:rPr>
                <w:sz w:val="22"/>
                <w:szCs w:val="22"/>
                <w:highlight w:val="lightGray"/>
                <w:lang w:val="fr-BE"/>
              </w:rPr>
              <w:t>Current</w:t>
            </w:r>
            <w:proofErr w:type="spellEnd"/>
            <w:r w:rsidRPr="00F12CE1">
              <w:rPr>
                <w:sz w:val="22"/>
                <w:szCs w:val="22"/>
                <w:highlight w:val="lightGray"/>
                <w:lang w:val="fr-BE"/>
              </w:rPr>
              <w:t xml:space="preserve"> ratio (</w:t>
            </w:r>
            <w:proofErr w:type="spellStart"/>
            <w:r w:rsidRPr="00F12CE1">
              <w:rPr>
                <w:sz w:val="22"/>
                <w:szCs w:val="22"/>
                <w:highlight w:val="lightGray"/>
                <w:lang w:val="fr-BE"/>
              </w:rPr>
              <w:t>current</w:t>
            </w:r>
            <w:proofErr w:type="spellEnd"/>
            <w:r w:rsidRPr="00F12CE1">
              <w:rPr>
                <w:sz w:val="22"/>
                <w:szCs w:val="22"/>
                <w:highlight w:val="lightGray"/>
                <w:lang w:val="fr-BE"/>
              </w:rPr>
              <w:t xml:space="preserve"> assets/</w:t>
            </w:r>
            <w:proofErr w:type="spellStart"/>
            <w:r w:rsidRPr="00F12CE1">
              <w:rPr>
                <w:sz w:val="22"/>
                <w:szCs w:val="22"/>
                <w:highlight w:val="lightGray"/>
                <w:lang w:val="fr-BE"/>
              </w:rPr>
              <w:t>current</w:t>
            </w:r>
            <w:proofErr w:type="spellEnd"/>
            <w:r w:rsidRPr="00F12CE1">
              <w:rPr>
                <w:sz w:val="22"/>
                <w:szCs w:val="22"/>
                <w:highlight w:val="lightGray"/>
                <w:lang w:val="fr-BE"/>
              </w:rPr>
              <w:t xml:space="preserve"> </w:t>
            </w:r>
            <w:proofErr w:type="spellStart"/>
            <w:r w:rsidRPr="00F12CE1">
              <w:rPr>
                <w:sz w:val="22"/>
                <w:szCs w:val="22"/>
                <w:highlight w:val="lightGray"/>
                <w:lang w:val="fr-BE"/>
              </w:rPr>
              <w:t>liabilities</w:t>
            </w:r>
            <w:proofErr w:type="spellEnd"/>
            <w:r w:rsidRPr="00F12CE1">
              <w:rPr>
                <w:sz w:val="22"/>
                <w:szCs w:val="22"/>
                <w:highlight w:val="lightGray"/>
                <w:lang w:val="fr-BE"/>
              </w:rPr>
              <w:t>)</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sidRPr="00F12CE1">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sidRPr="00F12CE1">
              <w:rPr>
                <w:sz w:val="22"/>
                <w:szCs w:val="22"/>
                <w:highlight w:val="lightGray"/>
              </w:rPr>
              <w:t>Not applicable</w:t>
            </w:r>
          </w:p>
        </w:tc>
        <w:tc>
          <w:tcPr>
            <w:tcW w:w="992" w:type="dxa"/>
            <w:tcBorders>
              <w:top w:val="single" w:sz="6" w:space="0" w:color="auto"/>
              <w:bottom w:val="single" w:sz="6" w:space="0" w:color="auto"/>
            </w:tcBorders>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sidRPr="00F12CE1">
              <w:rPr>
                <w:sz w:val="22"/>
                <w:szCs w:val="22"/>
                <w:highlight w:val="lightGray"/>
              </w:rPr>
              <w:t>Not applicable</w:t>
            </w:r>
          </w:p>
        </w:tc>
        <w:tc>
          <w:tcPr>
            <w:tcW w:w="1134" w:type="dxa"/>
            <w:tcBorders>
              <w:top w:val="single" w:sz="6" w:space="0" w:color="auto"/>
              <w:bottom w:val="single" w:sz="6" w:space="0" w:color="auto"/>
            </w:tcBorders>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sidRPr="00F12CE1">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sidRPr="00F12CE1">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F12CE1">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666F2BA0" w14:textId="05413E3C" w:rsidR="00FC4D25" w:rsidRDefault="000714DC" w:rsidP="005020EE">
      <w:pPr>
        <w:spacing w:after="240"/>
        <w:rPr>
          <w:rStyle w:val="Hyperlink"/>
          <w:b/>
          <w:sz w:val="22"/>
          <w:szCs w:val="22"/>
          <w:u w:val="none"/>
        </w:rPr>
      </w:pPr>
      <w:r>
        <w:rPr>
          <w:sz w:val="22"/>
          <w:szCs w:val="22"/>
          <w:highlight w:val="yellow"/>
        </w:rPr>
        <w:t>Insert here f</w:t>
      </w:r>
      <w:r w:rsidRPr="00F821B4">
        <w:rPr>
          <w:sz w:val="22"/>
          <w:szCs w:val="22"/>
          <w:highlight w:val="yellow"/>
        </w:rPr>
        <w:t xml:space="preserve">orm </w:t>
      </w:r>
      <w:r w:rsidR="00761C1D">
        <w:rPr>
          <w:sz w:val="22"/>
          <w:szCs w:val="22"/>
          <w:highlight w:val="yellow"/>
        </w:rPr>
        <w:t>a</w:t>
      </w:r>
      <w:r w:rsidRPr="00F821B4">
        <w:rPr>
          <w:sz w:val="22"/>
          <w:szCs w:val="22"/>
          <w:highlight w:val="yellow"/>
        </w:rPr>
        <w:t>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2" w:anchor="Annexes-AnnexesA(Ch.2):General" w:history="1">
        <w:r w:rsidR="003C6096" w:rsidRPr="009E54B9">
          <w:rPr>
            <w:rStyle w:val="Hyperlink"/>
            <w:sz w:val="22"/>
            <w:szCs w:val="22"/>
            <w:highlight w:val="yellow"/>
          </w:rPr>
          <w:t>https://wikis.ec.europa.eu/display/ExactExternalWiki/Annexes#Annexes-AnnexesA(Ch.2):General</w:t>
        </w:r>
      </w:hyperlink>
    </w:p>
    <w:p w14:paraId="4ADD090B" w14:textId="584B60E0" w:rsidR="00FC4D25" w:rsidRPr="00C37580" w:rsidRDefault="009473A5" w:rsidP="005020EE">
      <w:pPr>
        <w:spacing w:after="240"/>
        <w:rPr>
          <w:rStyle w:val="Hyperlink"/>
          <w:color w:val="000000"/>
          <w:sz w:val="22"/>
          <w:szCs w:val="22"/>
          <w:u w:val="none"/>
        </w:rPr>
      </w:pPr>
      <w:r w:rsidRPr="00C37580">
        <w:rPr>
          <w:rStyle w:val="Hyperlink"/>
          <w:color w:val="000000"/>
          <w:sz w:val="22"/>
          <w:szCs w:val="22"/>
          <w:highlight w:val="yellow"/>
          <w:u w:val="none"/>
        </w:rPr>
        <w:t>For the Declaration on Honour, different steps are applicable depending on the type of procedure. The applicable procedure ca</w:t>
      </w:r>
      <w:r w:rsidR="00A56B96" w:rsidRPr="00C37580">
        <w:rPr>
          <w:rStyle w:val="Hyperlink"/>
          <w:color w:val="000000"/>
          <w:sz w:val="22"/>
          <w:szCs w:val="22"/>
          <w:highlight w:val="yellow"/>
          <w:u w:val="none"/>
        </w:rPr>
        <w:t>n be verified in your letter of</w:t>
      </w:r>
      <w:r w:rsidRPr="00C37580">
        <w:rPr>
          <w:rStyle w:val="Hyperlink"/>
          <w:color w:val="000000"/>
          <w:sz w:val="22"/>
          <w:szCs w:val="22"/>
          <w:highlight w:val="yellow"/>
          <w:u w:val="none"/>
        </w:rPr>
        <w:t xml:space="preserve"> invitation.</w:t>
      </w:r>
    </w:p>
    <w:p w14:paraId="799CD21B" w14:textId="3AE49BC7" w:rsidR="00761C1D" w:rsidRPr="00C37580" w:rsidRDefault="00761C1D" w:rsidP="000714DC">
      <w:pPr>
        <w:rPr>
          <w:rStyle w:val="Hyperlink"/>
          <w:b/>
          <w:color w:val="000000"/>
          <w:sz w:val="22"/>
          <w:szCs w:val="22"/>
        </w:rPr>
      </w:pPr>
      <w:r w:rsidRPr="00C37580">
        <w:rPr>
          <w:rStyle w:val="Hyperlink"/>
          <w:b/>
          <w:color w:val="000000"/>
          <w:sz w:val="22"/>
          <w:szCs w:val="22"/>
          <w:highlight w:val="yellow"/>
        </w:rPr>
        <w:t>Paper submission:</w:t>
      </w:r>
      <w:r w:rsidRPr="00C37580">
        <w:rPr>
          <w:rStyle w:val="Hyperlink"/>
          <w:b/>
          <w:color w:val="000000"/>
          <w:sz w:val="22"/>
          <w:szCs w:val="22"/>
        </w:rPr>
        <w:t xml:space="preserve"> </w:t>
      </w:r>
    </w:p>
    <w:p w14:paraId="53240484" w14:textId="0E7474AD"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w:t>
      </w:r>
      <w:r w:rsidR="00AD10B2" w:rsidRPr="005020EE">
        <w:rPr>
          <w:b/>
          <w:bCs/>
          <w:sz w:val="22"/>
          <w:szCs w:val="22"/>
          <w:highlight w:val="yellow"/>
        </w:rPr>
        <w:t>post or courier or hand delivered</w:t>
      </w:r>
      <w:r w:rsidR="00AD10B2" w:rsidRPr="00F821B4">
        <w:rPr>
          <w:sz w:val="22"/>
          <w:szCs w:val="22"/>
          <w:highlight w:val="yellow"/>
        </w:rPr>
        <w:t>:</w:t>
      </w:r>
      <w:r w:rsidR="00AD10B2" w:rsidRPr="00F83725">
        <w:rPr>
          <w:sz w:val="22"/>
          <w:szCs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szCs w:val="22"/>
          <w:highlight w:val="yellow"/>
        </w:rPr>
        <w:t>when submitting the tender, the</w:t>
      </w:r>
      <w:r w:rsidR="00856585">
        <w:rPr>
          <w:sz w:val="22"/>
          <w:szCs w:val="22"/>
          <w:highlight w:val="yellow"/>
        </w:rPr>
        <w:t xml:space="preserve"> </w:t>
      </w:r>
      <w:r>
        <w:rPr>
          <w:sz w:val="22"/>
          <w:szCs w:val="22"/>
          <w:highlight w:val="yellow"/>
        </w:rPr>
        <w:t>signed and dated original</w:t>
      </w:r>
      <w:r w:rsidR="0045279B">
        <w:rPr>
          <w:sz w:val="22"/>
          <w:szCs w:val="22"/>
          <w:highlight w:val="yellow"/>
        </w:rPr>
        <w:t xml:space="preserve"> D</w:t>
      </w:r>
      <w:r>
        <w:rPr>
          <w:sz w:val="22"/>
          <w:szCs w:val="22"/>
          <w:highlight w:val="yellow"/>
        </w:rPr>
        <w:t>eclaration</w:t>
      </w:r>
      <w:r w:rsidR="0045279B">
        <w:rPr>
          <w:sz w:val="22"/>
          <w:szCs w:val="22"/>
          <w:highlight w:val="yellow"/>
        </w:rPr>
        <w:t>(s)</w:t>
      </w:r>
      <w:r>
        <w:rPr>
          <w:sz w:val="22"/>
          <w:szCs w:val="22"/>
          <w:highlight w:val="yellow"/>
        </w:rPr>
        <w:t xml:space="preserve"> on </w:t>
      </w:r>
      <w:r w:rsidR="0045279B">
        <w:rPr>
          <w:sz w:val="22"/>
          <w:szCs w:val="22"/>
          <w:highlight w:val="yellow"/>
        </w:rPr>
        <w:t>H</w:t>
      </w:r>
      <w:r>
        <w:rPr>
          <w:sz w:val="22"/>
          <w:szCs w:val="22"/>
          <w:highlight w:val="yellow"/>
        </w:rPr>
        <w:t>onour shall be included</w:t>
      </w:r>
      <w:r w:rsidR="007914F5">
        <w:rPr>
          <w:sz w:val="22"/>
          <w:szCs w:val="22"/>
          <w:highlight w:val="yellow"/>
        </w:rPr>
        <w:t>;</w:t>
      </w:r>
    </w:p>
    <w:p w14:paraId="096FD8B8" w14:textId="16DCE929" w:rsidR="007914F5" w:rsidRPr="007914F5" w:rsidRDefault="007914F5" w:rsidP="005020EE">
      <w:pPr>
        <w:widowControl w:val="0"/>
        <w:numPr>
          <w:ilvl w:val="0"/>
          <w:numId w:val="18"/>
        </w:numPr>
        <w:spacing w:after="240"/>
        <w:ind w:left="425" w:hanging="425"/>
        <w:jc w:val="both"/>
        <w:rPr>
          <w:sz w:val="22"/>
          <w:szCs w:val="22"/>
          <w:highlight w:val="yellow"/>
        </w:rPr>
      </w:pPr>
      <w:r>
        <w:rPr>
          <w:sz w:val="22"/>
          <w:szCs w:val="22"/>
          <w:highlight w:val="yellow"/>
        </w:rPr>
        <w:t>i</w:t>
      </w:r>
      <w:r w:rsidRPr="002846FC">
        <w:rPr>
          <w:sz w:val="22"/>
          <w:szCs w:val="22"/>
          <w:highlight w:val="yellow"/>
        </w:rPr>
        <w:t>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r w:rsidR="00671A6D">
        <w:rPr>
          <w:sz w:val="22"/>
          <w:szCs w:val="22"/>
          <w:highlight w:val="yellow"/>
        </w:rPr>
        <w:t>.</w:t>
      </w:r>
    </w:p>
    <w:p w14:paraId="3EC0D872" w14:textId="448F21E5" w:rsidR="00AD10B2" w:rsidRPr="005020EE" w:rsidRDefault="009C6244" w:rsidP="00AD10B2">
      <w:pPr>
        <w:widowControl w:val="0"/>
        <w:jc w:val="both"/>
        <w:rPr>
          <w:b/>
          <w:bCs/>
          <w:sz w:val="22"/>
          <w:szCs w:val="22"/>
          <w:highlight w:val="yellow"/>
          <w:u w:val="single"/>
        </w:rPr>
      </w:pPr>
      <w:r>
        <w:rPr>
          <w:b/>
          <w:bCs/>
          <w:sz w:val="22"/>
          <w:szCs w:val="22"/>
          <w:highlight w:val="yellow"/>
          <w:u w:val="single"/>
        </w:rPr>
        <w:t xml:space="preserve">Electronic submission: </w:t>
      </w: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72CE7C38" w:rsidR="00AD10B2" w:rsidRDefault="00AD10B2" w:rsidP="005020EE">
      <w:pPr>
        <w:widowControl w:val="0"/>
        <w:numPr>
          <w:ilvl w:val="0"/>
          <w:numId w:val="18"/>
        </w:numPr>
        <w:spacing w:after="80"/>
        <w:ind w:left="425" w:hanging="357"/>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w:t>
      </w:r>
      <w:r w:rsidR="007914F5">
        <w:rPr>
          <w:sz w:val="22"/>
          <w:szCs w:val="22"/>
          <w:highlight w:val="yellow"/>
        </w:rPr>
        <w:t>s</w:t>
      </w:r>
      <w:r>
        <w:rPr>
          <w:sz w:val="22"/>
          <w:szCs w:val="22"/>
          <w:highlight w:val="yellow"/>
        </w:rPr>
        <w:t xml:space="preserve">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30285EBA" w14:textId="33E98E01" w:rsidR="007914F5" w:rsidRPr="007914F5" w:rsidRDefault="00AD10B2" w:rsidP="005020EE">
      <w:pPr>
        <w:widowControl w:val="0"/>
        <w:numPr>
          <w:ilvl w:val="0"/>
          <w:numId w:val="18"/>
        </w:numPr>
        <w:spacing w:after="80"/>
        <w:ind w:left="425" w:hanging="357"/>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r w:rsidR="007914F5">
        <w:rPr>
          <w:sz w:val="22"/>
          <w:szCs w:val="22"/>
          <w:highlight w:val="yellow"/>
        </w:rPr>
        <w:t>;</w:t>
      </w:r>
    </w:p>
    <w:p w14:paraId="31C3235B" w14:textId="21F99A7A" w:rsidR="00AD10B2" w:rsidRDefault="00AD10B2" w:rsidP="005020EE">
      <w:pPr>
        <w:widowControl w:val="0"/>
        <w:numPr>
          <w:ilvl w:val="0"/>
          <w:numId w:val="18"/>
        </w:numPr>
        <w:spacing w:after="80"/>
        <w:ind w:left="425" w:hanging="357"/>
        <w:jc w:val="both"/>
        <w:rPr>
          <w:sz w:val="22"/>
          <w:szCs w:val="22"/>
          <w:highlight w:val="yellow"/>
        </w:rPr>
      </w:pPr>
      <w:r>
        <w:rPr>
          <w:sz w:val="22"/>
          <w:szCs w:val="22"/>
          <w:highlight w:val="yellow"/>
        </w:rPr>
        <w:t>the leader of the consortium keeps the original</w:t>
      </w:r>
      <w:r w:rsidR="00AD361A">
        <w:rPr>
          <w:sz w:val="22"/>
          <w:szCs w:val="22"/>
          <w:highlight w:val="yellow"/>
        </w:rPr>
        <w:t xml:space="preserv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sidR="007914F5">
        <w:rPr>
          <w:sz w:val="22"/>
          <w:szCs w:val="22"/>
          <w:highlight w:val="yellow"/>
        </w:rPr>
        <w:t>;</w:t>
      </w:r>
    </w:p>
    <w:p w14:paraId="5D8740F7" w14:textId="77777777" w:rsidR="00AD361A" w:rsidRDefault="00291017" w:rsidP="005020EE">
      <w:pPr>
        <w:widowControl w:val="0"/>
        <w:numPr>
          <w:ilvl w:val="0"/>
          <w:numId w:val="18"/>
        </w:numPr>
        <w:spacing w:after="80"/>
        <w:ind w:left="425" w:hanging="357"/>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r w:rsidR="00AD361A">
        <w:rPr>
          <w:sz w:val="22"/>
          <w:szCs w:val="22"/>
          <w:highlight w:val="yellow"/>
        </w:rPr>
        <w:t>;</w:t>
      </w:r>
    </w:p>
    <w:p w14:paraId="1A447006" w14:textId="7FA7F330" w:rsidR="00F330B9" w:rsidRPr="005020EE" w:rsidRDefault="007914F5" w:rsidP="005020EE">
      <w:pPr>
        <w:widowControl w:val="0"/>
        <w:numPr>
          <w:ilvl w:val="0"/>
          <w:numId w:val="18"/>
        </w:numPr>
        <w:spacing w:after="240"/>
        <w:ind w:left="425" w:hanging="357"/>
        <w:jc w:val="both"/>
        <w:rPr>
          <w:sz w:val="22"/>
          <w:szCs w:val="22"/>
          <w:highlight w:val="yellow"/>
        </w:rPr>
      </w:pPr>
      <w:r w:rsidRPr="00AD361A">
        <w:rPr>
          <w:sz w:val="22"/>
          <w:szCs w:val="22"/>
          <w:highlight w:val="yellow"/>
        </w:rPr>
        <w:t xml:space="preserve">in case the Declaration on Honour is signed with a Qualified Electronic Signature (QES), submit the QES-signed Declaration on Honour via </w:t>
      </w:r>
      <w:proofErr w:type="spellStart"/>
      <w:r w:rsidRPr="00AD361A">
        <w:rPr>
          <w:sz w:val="22"/>
          <w:szCs w:val="22"/>
          <w:highlight w:val="yellow"/>
        </w:rPr>
        <w:t>eSubmission</w:t>
      </w:r>
      <w:proofErr w:type="spellEnd"/>
      <w:r w:rsidRPr="00AD361A">
        <w:rPr>
          <w:sz w:val="22"/>
          <w:szCs w:val="22"/>
          <w:highlight w:val="yellow"/>
        </w:rPr>
        <w:t xml:space="preserve"> through the section “Declaration on Honour” under “Attachments”.</w:t>
      </w:r>
    </w:p>
    <w:p w14:paraId="3BF92DA4" w14:textId="1EA08818" w:rsidR="00CF1B10" w:rsidRDefault="00856585" w:rsidP="00CF1B10">
      <w:pPr>
        <w:widowControl w:val="0"/>
        <w:jc w:val="both"/>
        <w:rPr>
          <w:sz w:val="22"/>
          <w:szCs w:val="22"/>
          <w:highlight w:val="yellow"/>
        </w:rPr>
      </w:pPr>
      <w:r w:rsidRPr="00C37580">
        <w:rPr>
          <w:rStyle w:val="Hyperlink"/>
          <w:b/>
          <w:color w:val="000000"/>
          <w:sz w:val="22"/>
          <w:szCs w:val="22"/>
          <w:highlight w:val="yellow"/>
        </w:rPr>
        <w:t xml:space="preserve">E-mail submission: </w:t>
      </w:r>
    </w:p>
    <w:p w14:paraId="6158D314" w14:textId="289C76D7" w:rsidR="00CF1B10" w:rsidRPr="009B665B" w:rsidRDefault="00CF1B10" w:rsidP="00CF1B10">
      <w:pPr>
        <w:widowControl w:val="0"/>
        <w:jc w:val="both"/>
        <w:rPr>
          <w:sz w:val="22"/>
          <w:szCs w:val="22"/>
          <w:highlight w:val="yellow"/>
        </w:rPr>
      </w:pPr>
      <w:r w:rsidRPr="009B665B">
        <w:rPr>
          <w:sz w:val="22"/>
          <w:szCs w:val="22"/>
          <w:highlight w:val="yellow"/>
        </w:rPr>
        <w:t xml:space="preserve">In case the instructions to tenderers (see section </w:t>
      </w:r>
      <w:r>
        <w:rPr>
          <w:sz w:val="22"/>
          <w:szCs w:val="22"/>
          <w:highlight w:val="yellow"/>
        </w:rPr>
        <w:t>10</w:t>
      </w:r>
      <w:r w:rsidRPr="009B665B">
        <w:rPr>
          <w:sz w:val="22"/>
          <w:szCs w:val="22"/>
          <w:highlight w:val="yellow"/>
        </w:rPr>
        <w:t xml:space="preserve">) state that the tender should be submitted via </w:t>
      </w:r>
      <w:r w:rsidRPr="009B665B">
        <w:rPr>
          <w:b/>
          <w:sz w:val="22"/>
          <w:szCs w:val="22"/>
          <w:highlight w:val="yellow"/>
        </w:rPr>
        <w:t>e</w:t>
      </w:r>
      <w:r>
        <w:rPr>
          <w:b/>
          <w:sz w:val="22"/>
          <w:szCs w:val="22"/>
          <w:highlight w:val="yellow"/>
        </w:rPr>
        <w:t>-mail</w:t>
      </w:r>
      <w:r w:rsidRPr="009B665B">
        <w:rPr>
          <w:sz w:val="22"/>
          <w:szCs w:val="22"/>
          <w:highlight w:val="yellow"/>
        </w:rPr>
        <w:t xml:space="preserve">: </w:t>
      </w:r>
    </w:p>
    <w:p w14:paraId="27A692B0" w14:textId="732133E1" w:rsidR="00CF1B10" w:rsidRDefault="00CF1B10" w:rsidP="005020EE">
      <w:pPr>
        <w:widowControl w:val="0"/>
        <w:numPr>
          <w:ilvl w:val="0"/>
          <w:numId w:val="18"/>
        </w:numPr>
        <w:spacing w:after="80"/>
        <w:ind w:left="425" w:hanging="357"/>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8C25C0">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r w:rsidR="007914F5">
        <w:rPr>
          <w:sz w:val="22"/>
          <w:szCs w:val="22"/>
          <w:highlight w:val="yellow"/>
        </w:rPr>
        <w:t>;</w:t>
      </w:r>
    </w:p>
    <w:p w14:paraId="29CD9E26" w14:textId="16398151" w:rsidR="007914F5" w:rsidRDefault="007914F5" w:rsidP="005020EE">
      <w:pPr>
        <w:widowControl w:val="0"/>
        <w:numPr>
          <w:ilvl w:val="0"/>
          <w:numId w:val="18"/>
        </w:numPr>
        <w:spacing w:after="80"/>
        <w:ind w:left="425" w:hanging="357"/>
        <w:jc w:val="both"/>
        <w:rPr>
          <w:sz w:val="22"/>
          <w:szCs w:val="22"/>
          <w:highlight w:val="yellow"/>
        </w:rPr>
      </w:pPr>
      <w:r>
        <w:rPr>
          <w:sz w:val="22"/>
          <w:szCs w:val="22"/>
          <w:highlight w:val="yellow"/>
        </w:rPr>
        <w:t>the Declarations on Honour are scanned and submitted via e-mail;</w:t>
      </w:r>
    </w:p>
    <w:p w14:paraId="153A7705" w14:textId="047E3F55" w:rsidR="007914F5" w:rsidRPr="007914F5" w:rsidRDefault="008C25C0" w:rsidP="005020EE">
      <w:pPr>
        <w:widowControl w:val="0"/>
        <w:numPr>
          <w:ilvl w:val="0"/>
          <w:numId w:val="18"/>
        </w:numPr>
        <w:spacing w:after="80"/>
        <w:ind w:left="425" w:hanging="357"/>
        <w:jc w:val="both"/>
        <w:rPr>
          <w:sz w:val="22"/>
          <w:szCs w:val="22"/>
          <w:highlight w:val="yellow"/>
        </w:rPr>
      </w:pPr>
      <w:r>
        <w:rPr>
          <w:sz w:val="22"/>
          <w:szCs w:val="22"/>
          <w:highlight w:val="yellow"/>
        </w:rPr>
        <w:t>t</w:t>
      </w:r>
      <w:r w:rsidR="007914F5" w:rsidRPr="007914F5">
        <w:rPr>
          <w:sz w:val="22"/>
          <w:szCs w:val="22"/>
          <w:highlight w:val="yellow"/>
        </w:rPr>
        <w:t>he originals of the Declaration on Honour should be kept by the tenderer on file for control purposes and have to be provided upon request to the contracting authority</w:t>
      </w:r>
      <w:r w:rsidR="007914F5">
        <w:rPr>
          <w:sz w:val="22"/>
          <w:szCs w:val="22"/>
          <w:highlight w:val="yellow"/>
        </w:rPr>
        <w:t>;</w:t>
      </w:r>
    </w:p>
    <w:p w14:paraId="57A75053" w14:textId="084E0F6B" w:rsidR="00CF1B10" w:rsidRPr="007914F5" w:rsidRDefault="00856585" w:rsidP="005020EE">
      <w:pPr>
        <w:widowControl w:val="0"/>
        <w:numPr>
          <w:ilvl w:val="0"/>
          <w:numId w:val="18"/>
        </w:numPr>
        <w:spacing w:after="0"/>
        <w:ind w:left="425" w:hanging="357"/>
        <w:jc w:val="both"/>
        <w:rPr>
          <w:sz w:val="22"/>
          <w:szCs w:val="22"/>
          <w:highlight w:val="yellow"/>
        </w:rPr>
      </w:pPr>
      <w:r w:rsidRPr="005020EE">
        <w:rPr>
          <w:sz w:val="22"/>
          <w:szCs w:val="22"/>
          <w:highlight w:val="yellow"/>
        </w:rPr>
        <w:t>in case the Qualified Electronic Signature (QES) is used for the signing of the Declaration(s) on honour, submit the QES-signed Declaration on Honour by email</w:t>
      </w:r>
      <w:r w:rsidR="007914F5">
        <w:rPr>
          <w:sz w:val="22"/>
          <w:szCs w:val="22"/>
          <w:highlight w:val="yellow"/>
        </w:rPr>
        <w:t>.</w:t>
      </w:r>
    </w:p>
    <w:p w14:paraId="4AC34543" w14:textId="0F91D4CB" w:rsidR="00347075" w:rsidRPr="00347075" w:rsidRDefault="000714DC" w:rsidP="005020EE">
      <w:pPr>
        <w:pStyle w:val="Blockquote"/>
        <w:spacing w:before="240"/>
        <w:ind w:left="0" w:right="0"/>
        <w:jc w:val="both"/>
        <w:rPr>
          <w:sz w:val="22"/>
          <w:szCs w:val="22"/>
        </w:rPr>
      </w:pPr>
      <w:r>
        <w:rPr>
          <w:b/>
          <w:bCs/>
          <w:sz w:val="22"/>
          <w:szCs w:val="22"/>
          <w:highlight w:val="yellow"/>
        </w:rPr>
        <w:t>Delete this section highlighted in yellow after having completed all instructions.]</w:t>
      </w:r>
    </w:p>
    <w:sectPr w:rsidR="00347075" w:rsidRPr="00347075" w:rsidSect="00601A79">
      <w:headerReference w:type="even" r:id="rId23"/>
      <w:headerReference w:type="default" r:id="rId24"/>
      <w:footerReference w:type="even" r:id="rId25"/>
      <w:footerReference w:type="default" r:id="rId26"/>
      <w:headerReference w:type="first" r:id="rId27"/>
      <w:footerReference w:type="first" r:id="rId28"/>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0E235" w14:textId="77777777" w:rsidR="009B1194" w:rsidRPr="006A5F84" w:rsidRDefault="009B1194">
      <w:r w:rsidRPr="006A5F84">
        <w:separator/>
      </w:r>
    </w:p>
  </w:endnote>
  <w:endnote w:type="continuationSeparator" w:id="0">
    <w:p w14:paraId="51F4ED4B" w14:textId="77777777" w:rsidR="009B1194" w:rsidRPr="006A5F84" w:rsidRDefault="009B119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F4582" w14:textId="77777777" w:rsidR="009B1194" w:rsidRPr="006A5F84" w:rsidRDefault="009B1194">
      <w:r w:rsidRPr="006A5F84">
        <w:separator/>
      </w:r>
    </w:p>
  </w:footnote>
  <w:footnote w:type="continuationSeparator" w:id="0">
    <w:p w14:paraId="4A5A931B" w14:textId="77777777" w:rsidR="009B1194" w:rsidRPr="006A5F84" w:rsidRDefault="009B1194">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8" w:name="_Hlk184309003"/>
      <w:r w:rsidRPr="00A35560">
        <w:rPr>
          <w:lang w:val="en-IE"/>
        </w:rPr>
        <w:t>Add only the bank account details of the leader to whom payments under the proposed contract should be made in the event that you are awarded the contract.</w:t>
      </w:r>
      <w:bookmarkEnd w:id="8"/>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Natural persons have to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FootnoteReference"/>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FootnoteReference"/>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sidRPr="00C37580">
        <w:rPr>
          <w:rStyle w:val="FootnoteReference"/>
          <w:color w:val="000000"/>
        </w:rPr>
        <w:footnoteRef/>
      </w:r>
      <w:r w:rsidR="00350632" w:rsidRPr="00C37580">
        <w:rPr>
          <w:color w:val="000000"/>
        </w:rPr>
        <w:tab/>
      </w:r>
      <w:r w:rsidR="00A45A0D" w:rsidRPr="00C37580">
        <w:rPr>
          <w:color w:val="000000"/>
          <w:lang w:val="en-IE"/>
        </w:rPr>
        <w:t>References must be contracts implemented by the legal entity (or legal entities) submitting the</w:t>
      </w:r>
      <w:r w:rsidR="00D42267" w:rsidRPr="00C37580">
        <w:rPr>
          <w:color w:val="000000"/>
          <w:lang w:val="en-IE"/>
        </w:rPr>
        <w:t xml:space="preserve">-tender form </w:t>
      </w:r>
      <w:r w:rsidR="00A45A0D" w:rsidRPr="00C37580">
        <w:rPr>
          <w:color w:val="000000"/>
          <w:lang w:val="en-IE"/>
        </w:rPr>
        <w:t xml:space="preserve">(with the exception of documented cases of company buyout or universal succession). </w:t>
      </w:r>
      <w:r w:rsidR="00AF290C" w:rsidRPr="00C37580">
        <w:rPr>
          <w:color w:val="000000"/>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36585787">
    <w:abstractNumId w:val="7"/>
  </w:num>
  <w:num w:numId="2" w16cid:durableId="857278524">
    <w:abstractNumId w:val="16"/>
  </w:num>
  <w:num w:numId="3" w16cid:durableId="1683429238">
    <w:abstractNumId w:val="6"/>
  </w:num>
  <w:num w:numId="4" w16cid:durableId="1117337960">
    <w:abstractNumId w:val="9"/>
  </w:num>
  <w:num w:numId="5" w16cid:durableId="1913814602">
    <w:abstractNumId w:val="18"/>
  </w:num>
  <w:num w:numId="6" w16cid:durableId="213975405">
    <w:abstractNumId w:val="5"/>
  </w:num>
  <w:num w:numId="7" w16cid:durableId="1646541583">
    <w:abstractNumId w:val="2"/>
  </w:num>
  <w:num w:numId="8" w16cid:durableId="1905407328">
    <w:abstractNumId w:val="0"/>
  </w:num>
  <w:num w:numId="9" w16cid:durableId="230312850">
    <w:abstractNumId w:val="10"/>
  </w:num>
  <w:num w:numId="10" w16cid:durableId="385766573">
    <w:abstractNumId w:val="1"/>
  </w:num>
  <w:num w:numId="11" w16cid:durableId="130023691">
    <w:abstractNumId w:val="15"/>
  </w:num>
  <w:num w:numId="12" w16cid:durableId="1052463305">
    <w:abstractNumId w:val="8"/>
  </w:num>
  <w:num w:numId="13" w16cid:durableId="1209800934">
    <w:abstractNumId w:val="3"/>
  </w:num>
  <w:num w:numId="14" w16cid:durableId="1725254887">
    <w:abstractNumId w:val="13"/>
  </w:num>
  <w:num w:numId="15" w16cid:durableId="402069003">
    <w:abstractNumId w:val="14"/>
  </w:num>
  <w:num w:numId="16" w16cid:durableId="1042556263">
    <w:abstractNumId w:val="4"/>
  </w:num>
  <w:num w:numId="17" w16cid:durableId="2029986339">
    <w:abstractNumId w:val="11"/>
  </w:num>
  <w:num w:numId="18" w16cid:durableId="468014572">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326F"/>
    <w:rsid w:val="00173E66"/>
    <w:rsid w:val="001766D9"/>
    <w:rsid w:val="001801FE"/>
    <w:rsid w:val="00181980"/>
    <w:rsid w:val="00182E44"/>
    <w:rsid w:val="00187194"/>
    <w:rsid w:val="00187253"/>
    <w:rsid w:val="001905CD"/>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0BB"/>
    <w:rsid w:val="003D7611"/>
    <w:rsid w:val="003E0FDF"/>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2F9D"/>
    <w:rsid w:val="00575CB0"/>
    <w:rsid w:val="0057671E"/>
    <w:rsid w:val="00582894"/>
    <w:rsid w:val="00586D6C"/>
    <w:rsid w:val="00587205"/>
    <w:rsid w:val="00591F23"/>
    <w:rsid w:val="00593550"/>
    <w:rsid w:val="005A1D69"/>
    <w:rsid w:val="005A3AB2"/>
    <w:rsid w:val="005B2018"/>
    <w:rsid w:val="005B7998"/>
    <w:rsid w:val="005C0EA1"/>
    <w:rsid w:val="005C78BC"/>
    <w:rsid w:val="005D350F"/>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445D9"/>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6621B"/>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5765"/>
    <w:rsid w:val="009676C2"/>
    <w:rsid w:val="00980A42"/>
    <w:rsid w:val="00985F1E"/>
    <w:rsid w:val="00986672"/>
    <w:rsid w:val="00997300"/>
    <w:rsid w:val="009976B3"/>
    <w:rsid w:val="009A3792"/>
    <w:rsid w:val="009A3A53"/>
    <w:rsid w:val="009A4718"/>
    <w:rsid w:val="009B0CF1"/>
    <w:rsid w:val="009B1194"/>
    <w:rsid w:val="009B1FBF"/>
    <w:rsid w:val="009B2F1F"/>
    <w:rsid w:val="009B422E"/>
    <w:rsid w:val="009B4D6F"/>
    <w:rsid w:val="009B5A6D"/>
    <w:rsid w:val="009C0E86"/>
    <w:rsid w:val="009C4946"/>
    <w:rsid w:val="009C60D7"/>
    <w:rsid w:val="009C6244"/>
    <w:rsid w:val="009D2938"/>
    <w:rsid w:val="009D4B1E"/>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4D5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07AED"/>
    <w:rsid w:val="00C12AF0"/>
    <w:rsid w:val="00C13C29"/>
    <w:rsid w:val="00C17310"/>
    <w:rsid w:val="00C302E1"/>
    <w:rsid w:val="00C3235B"/>
    <w:rsid w:val="00C34E40"/>
    <w:rsid w:val="00C37580"/>
    <w:rsid w:val="00C41328"/>
    <w:rsid w:val="00C417A4"/>
    <w:rsid w:val="00C41919"/>
    <w:rsid w:val="00C41E0B"/>
    <w:rsid w:val="00C47683"/>
    <w:rsid w:val="00C57B8F"/>
    <w:rsid w:val="00C61312"/>
    <w:rsid w:val="00C6387A"/>
    <w:rsid w:val="00C71093"/>
    <w:rsid w:val="00C71C59"/>
    <w:rsid w:val="00C720C8"/>
    <w:rsid w:val="00C729B4"/>
    <w:rsid w:val="00C74C27"/>
    <w:rsid w:val="00C75CCE"/>
    <w:rsid w:val="00C778A1"/>
    <w:rsid w:val="00C8000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4AAB"/>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0663"/>
    <w:rsid w:val="00DD104A"/>
    <w:rsid w:val="00DD13B0"/>
    <w:rsid w:val="00DD14D3"/>
    <w:rsid w:val="00DD18A3"/>
    <w:rsid w:val="00DD62AF"/>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6949"/>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4A3"/>
    <w:rsid w:val="00EE2E55"/>
    <w:rsid w:val="00EE6F93"/>
    <w:rsid w:val="00EF0687"/>
    <w:rsid w:val="00EF0798"/>
    <w:rsid w:val="00EF1C05"/>
    <w:rsid w:val="00EF3666"/>
    <w:rsid w:val="00EF3951"/>
    <w:rsid w:val="00EF6426"/>
    <w:rsid w:val="00F02006"/>
    <w:rsid w:val="00F0574A"/>
    <w:rsid w:val="00F06A36"/>
    <w:rsid w:val="00F06C63"/>
    <w:rsid w:val="00F12CE1"/>
    <w:rsid w:val="00F318B3"/>
    <w:rsid w:val="00F330B9"/>
    <w:rsid w:val="00F33A99"/>
    <w:rsid w:val="00F35F84"/>
    <w:rsid w:val="00F4528C"/>
    <w:rsid w:val="00F46A42"/>
    <w:rsid w:val="00F563B4"/>
    <w:rsid w:val="00F56D4C"/>
    <w:rsid w:val="00F61F0B"/>
    <w:rsid w:val="00F63F66"/>
    <w:rsid w:val="00F658F3"/>
    <w:rsid w:val="00F676D0"/>
    <w:rsid w:val="00F67C74"/>
    <w:rsid w:val="00F7213E"/>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C6F2A"/>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s://wikis.ec.europa.eu/display/ExactExternalWiki/Annexes" TargetMode="External"/><Relationship Id="rId27" Type="http://schemas.openxmlformats.org/officeDocument/2006/relationships/header" Target="header9.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2888</Words>
  <Characters>16467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BERKMAN Umut (EEAS-ANKARA)</cp:lastModifiedBy>
  <cp:revision>2</cp:revision>
  <cp:lastPrinted>2012-09-24T09:39:00Z</cp:lastPrinted>
  <dcterms:created xsi:type="dcterms:W3CDTF">2025-12-18T12:20:00Z</dcterms:created>
  <dcterms:modified xsi:type="dcterms:W3CDTF">2025-12-18T12:20:00Z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2023-04-04T08:26:00Z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1e9507d8-8e86-4420-9e11-80b7563576c3</vt:lpwstr>
  </property>
  <property fmtid="{D5CDD505-2E9C-101B-9397-08002B2CF9AE}" pid="9" name="MSIP_Label_6bd9ddd1-4d20-43f6-abfa-fc3c07406f94_ContentBits">
    <vt:lpwstr>0</vt:lpwstr>
  </property>
  <property fmtid="{D5CDD505-2E9C-101B-9397-08002B2CF9AE}" pid="10" name="GrammarlyDocumentId">
    <vt:lpwstr>d06632c2-341b-49db-a046-6408e39d9c2b</vt:lpwstr>
  </property>
</Properties>
</file>