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0D9C6C91" w14:textId="7544246F" w:rsidR="00026D9A" w:rsidRPr="00026D9A" w:rsidRDefault="009220B3" w:rsidP="00E12025">
      <w:pPr>
        <w:numPr>
          <w:ilvl w:val="1"/>
          <w:numId w:val="26"/>
        </w:numPr>
        <w:spacing w:before="240" w:after="0"/>
        <w:ind w:left="567" w:hanging="567"/>
        <w:jc w:val="both"/>
        <w:rPr>
          <w:rFonts w:ascii="Times New Roman" w:hAnsi="Times New Roman"/>
          <w:sz w:val="22"/>
        </w:rPr>
      </w:pPr>
      <w:bookmarkStart w:id="3" w:name="_Hlk132980677"/>
      <w:r w:rsidRPr="00026D9A">
        <w:rPr>
          <w:rFonts w:ascii="Times New Roman" w:hAnsi="Times New Roman"/>
          <w:sz w:val="22"/>
        </w:rPr>
        <w:t>The subject of the contract shall be:</w:t>
      </w:r>
      <w:r w:rsidR="00026D9A">
        <w:rPr>
          <w:rFonts w:ascii="Times New Roman" w:hAnsi="Times New Roman"/>
          <w:sz w:val="22"/>
        </w:rPr>
        <w:t xml:space="preserve"> </w:t>
      </w:r>
      <w:r w:rsidR="00DC3D24" w:rsidRPr="009B74CD">
        <w:rPr>
          <w:rFonts w:ascii="Times New Roman" w:hAnsi="Times New Roman"/>
          <w:sz w:val="22"/>
        </w:rPr>
        <w:t xml:space="preserve">supply, design, delivery, unloading, testing, siting, installation, commissioning, maintenance, after sale services and technical support </w:t>
      </w:r>
      <w:r w:rsidR="00DC3D24">
        <w:rPr>
          <w:rFonts w:ascii="Times New Roman" w:hAnsi="Times New Roman"/>
          <w:sz w:val="22"/>
        </w:rPr>
        <w:t xml:space="preserve">of </w:t>
      </w:r>
      <w:r w:rsidR="00DC3D24" w:rsidRPr="00026D9A">
        <w:rPr>
          <w:rFonts w:ascii="Times New Roman" w:hAnsi="Times New Roman"/>
          <w:sz w:val="22"/>
        </w:rPr>
        <w:t>the following supplies</w:t>
      </w:r>
      <w:r w:rsidR="00026D9A" w:rsidRPr="00026D9A">
        <w:rPr>
          <w:rFonts w:ascii="Times New Roman" w:hAnsi="Times New Roman"/>
          <w:sz w:val="22"/>
        </w:rPr>
        <w:t>:</w:t>
      </w:r>
    </w:p>
    <w:p w14:paraId="44FDBD8F" w14:textId="0BF72B4C" w:rsidR="00026D9A" w:rsidRDefault="00026D9A" w:rsidP="00026D9A">
      <w:pPr>
        <w:rPr>
          <w:rFonts w:ascii="Times New Roman" w:hAnsi="Times New Roman"/>
          <w:b/>
          <w:bCs/>
          <w:sz w:val="22"/>
          <w:lang w:val="en-US"/>
        </w:rPr>
      </w:pPr>
      <w:r w:rsidRPr="00C641CE">
        <w:rPr>
          <w:rFonts w:ascii="Times New Roman" w:hAnsi="Times New Roman"/>
          <w:b/>
          <w:bCs/>
          <w:sz w:val="22"/>
          <w:lang w:val="en-US"/>
        </w:rPr>
        <w:t xml:space="preserve">Electric </w:t>
      </w:r>
      <w:r>
        <w:rPr>
          <w:rFonts w:ascii="Times New Roman" w:hAnsi="Times New Roman"/>
          <w:b/>
          <w:bCs/>
          <w:sz w:val="22"/>
          <w:lang w:val="en-US"/>
        </w:rPr>
        <w:t>b</w:t>
      </w:r>
      <w:r w:rsidRPr="00C641CE">
        <w:rPr>
          <w:rFonts w:ascii="Times New Roman" w:hAnsi="Times New Roman"/>
          <w:b/>
          <w:bCs/>
          <w:sz w:val="22"/>
          <w:lang w:val="en-US"/>
        </w:rPr>
        <w:t xml:space="preserve">icycle </w:t>
      </w:r>
      <w:r>
        <w:rPr>
          <w:rFonts w:ascii="Times New Roman" w:hAnsi="Times New Roman"/>
          <w:b/>
          <w:bCs/>
          <w:sz w:val="22"/>
          <w:lang w:val="en-US"/>
        </w:rPr>
        <w:t>a</w:t>
      </w:r>
      <w:r w:rsidRPr="00C641CE">
        <w:rPr>
          <w:rFonts w:ascii="Times New Roman" w:hAnsi="Times New Roman"/>
          <w:b/>
          <w:bCs/>
          <w:sz w:val="22"/>
          <w:lang w:val="en-US"/>
        </w:rPr>
        <w:t xml:space="preserve">nd </w:t>
      </w:r>
      <w:r>
        <w:rPr>
          <w:rFonts w:ascii="Times New Roman" w:hAnsi="Times New Roman"/>
          <w:b/>
          <w:bCs/>
          <w:sz w:val="22"/>
          <w:lang w:val="en-US"/>
        </w:rPr>
        <w:t>a</w:t>
      </w:r>
      <w:r w:rsidRPr="00C641CE">
        <w:rPr>
          <w:rFonts w:ascii="Times New Roman" w:hAnsi="Times New Roman"/>
          <w:b/>
          <w:bCs/>
          <w:sz w:val="22"/>
          <w:lang w:val="en-US"/>
        </w:rPr>
        <w:t xml:space="preserve">uxiliary </w:t>
      </w:r>
      <w:r>
        <w:rPr>
          <w:rFonts w:ascii="Times New Roman" w:hAnsi="Times New Roman"/>
          <w:b/>
          <w:bCs/>
          <w:sz w:val="22"/>
          <w:lang w:val="en-US"/>
        </w:rPr>
        <w:t>e</w:t>
      </w:r>
      <w:r w:rsidRPr="00C641CE">
        <w:rPr>
          <w:rFonts w:ascii="Times New Roman" w:hAnsi="Times New Roman"/>
          <w:b/>
          <w:bCs/>
          <w:sz w:val="22"/>
          <w:lang w:val="en-US"/>
        </w:rPr>
        <w:t>quipment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722"/>
        <w:gridCol w:w="2359"/>
        <w:gridCol w:w="1168"/>
        <w:gridCol w:w="2896"/>
        <w:gridCol w:w="1893"/>
      </w:tblGrid>
      <w:tr w:rsidR="00240506" w14:paraId="3009611A" w14:textId="77777777" w:rsidTr="00240506">
        <w:trPr>
          <w:trHeight w:val="322"/>
          <w:jc w:val="center"/>
        </w:trPr>
        <w:tc>
          <w:tcPr>
            <w:tcW w:w="400" w:type="pct"/>
            <w:tcBorders>
              <w:top w:val="single" w:sz="4" w:space="0" w:color="auto"/>
              <w:left w:val="single" w:sz="4" w:space="0" w:color="auto"/>
              <w:bottom w:val="single" w:sz="4" w:space="0" w:color="auto"/>
              <w:right w:val="single" w:sz="4" w:space="0" w:color="auto"/>
            </w:tcBorders>
            <w:shd w:val="clear" w:color="auto" w:fill="A5A5A5"/>
            <w:hideMark/>
          </w:tcPr>
          <w:p w14:paraId="1AA87A1B" w14:textId="77777777" w:rsidR="00240506" w:rsidRDefault="00240506">
            <w:pPr>
              <w:spacing w:before="0" w:after="0"/>
              <w:jc w:val="center"/>
              <w:rPr>
                <w:rFonts w:ascii="Times New Roman" w:hAnsi="Times New Roman"/>
                <w:b/>
                <w:bCs/>
                <w:snapToGrid/>
                <w:sz w:val="22"/>
                <w:szCs w:val="22"/>
                <w:lang w:val="en-US"/>
              </w:rPr>
            </w:pPr>
            <w:r>
              <w:rPr>
                <w:rFonts w:ascii="Times New Roman" w:hAnsi="Times New Roman"/>
                <w:b/>
                <w:bCs/>
                <w:sz w:val="22"/>
                <w:szCs w:val="22"/>
                <w:lang w:val="en-US"/>
              </w:rPr>
              <w:t>Item</w:t>
            </w:r>
          </w:p>
        </w:tc>
        <w:tc>
          <w:tcPr>
            <w:tcW w:w="1305" w:type="pct"/>
            <w:tcBorders>
              <w:top w:val="single" w:sz="4" w:space="0" w:color="auto"/>
              <w:left w:val="single" w:sz="4" w:space="0" w:color="auto"/>
              <w:bottom w:val="single" w:sz="4" w:space="0" w:color="auto"/>
              <w:right w:val="single" w:sz="4" w:space="0" w:color="auto"/>
            </w:tcBorders>
            <w:shd w:val="clear" w:color="auto" w:fill="A5A5A5"/>
            <w:hideMark/>
          </w:tcPr>
          <w:p w14:paraId="4C6119FA" w14:textId="77777777" w:rsidR="00240506" w:rsidRDefault="00240506">
            <w:pPr>
              <w:spacing w:before="0" w:after="0"/>
              <w:jc w:val="center"/>
              <w:rPr>
                <w:rFonts w:ascii="Times New Roman" w:hAnsi="Times New Roman"/>
                <w:b/>
                <w:bCs/>
                <w:sz w:val="22"/>
                <w:szCs w:val="22"/>
                <w:lang w:val="en-US"/>
              </w:rPr>
            </w:pPr>
            <w:r>
              <w:rPr>
                <w:rFonts w:ascii="Times New Roman" w:hAnsi="Times New Roman"/>
                <w:b/>
                <w:bCs/>
                <w:sz w:val="22"/>
                <w:szCs w:val="22"/>
                <w:lang w:val="en-US"/>
              </w:rPr>
              <w:t>Description</w:t>
            </w:r>
          </w:p>
        </w:tc>
        <w:tc>
          <w:tcPr>
            <w:tcW w:w="646" w:type="pct"/>
            <w:tcBorders>
              <w:top w:val="single" w:sz="4" w:space="0" w:color="auto"/>
              <w:left w:val="single" w:sz="4" w:space="0" w:color="auto"/>
              <w:bottom w:val="single" w:sz="4" w:space="0" w:color="auto"/>
              <w:right w:val="single" w:sz="4" w:space="0" w:color="auto"/>
            </w:tcBorders>
            <w:shd w:val="clear" w:color="auto" w:fill="A5A5A5"/>
            <w:hideMark/>
          </w:tcPr>
          <w:p w14:paraId="442E6031" w14:textId="77777777" w:rsidR="00240506" w:rsidRDefault="00240506">
            <w:pPr>
              <w:spacing w:before="0" w:after="0"/>
              <w:jc w:val="center"/>
              <w:rPr>
                <w:rFonts w:ascii="Times New Roman" w:hAnsi="Times New Roman"/>
                <w:b/>
                <w:bCs/>
                <w:sz w:val="22"/>
                <w:szCs w:val="22"/>
                <w:lang w:val="en-US"/>
              </w:rPr>
            </w:pPr>
            <w:r>
              <w:rPr>
                <w:rFonts w:ascii="Times New Roman" w:hAnsi="Times New Roman"/>
                <w:b/>
                <w:bCs/>
                <w:sz w:val="22"/>
                <w:szCs w:val="22"/>
                <w:lang w:val="en-US"/>
              </w:rPr>
              <w:t>Quantity</w:t>
            </w:r>
          </w:p>
        </w:tc>
        <w:tc>
          <w:tcPr>
            <w:tcW w:w="1602" w:type="pct"/>
            <w:tcBorders>
              <w:top w:val="single" w:sz="4" w:space="0" w:color="auto"/>
              <w:left w:val="single" w:sz="4" w:space="0" w:color="auto"/>
              <w:bottom w:val="single" w:sz="4" w:space="0" w:color="auto"/>
              <w:right w:val="single" w:sz="4" w:space="0" w:color="auto"/>
            </w:tcBorders>
            <w:shd w:val="clear" w:color="auto" w:fill="A5A5A5"/>
            <w:hideMark/>
          </w:tcPr>
          <w:p w14:paraId="422CFF82" w14:textId="77777777" w:rsidR="00240506" w:rsidRDefault="00240506">
            <w:pPr>
              <w:spacing w:before="0" w:after="0"/>
              <w:jc w:val="center"/>
              <w:rPr>
                <w:rFonts w:ascii="Times New Roman" w:hAnsi="Times New Roman"/>
                <w:b/>
                <w:bCs/>
                <w:sz w:val="22"/>
                <w:szCs w:val="22"/>
                <w:lang w:val="en-US"/>
              </w:rPr>
            </w:pPr>
            <w:r>
              <w:rPr>
                <w:rFonts w:ascii="Times New Roman" w:hAnsi="Times New Roman"/>
                <w:b/>
                <w:bCs/>
                <w:sz w:val="22"/>
                <w:szCs w:val="22"/>
                <w:lang w:val="en-US"/>
              </w:rPr>
              <w:t>Delivery to (DDP)</w:t>
            </w:r>
            <w:r>
              <w:rPr>
                <w:rStyle w:val="FootnoteReference"/>
                <w:rFonts w:ascii="Times New Roman" w:hAnsi="Times New Roman"/>
                <w:b/>
                <w:bCs/>
                <w:sz w:val="22"/>
                <w:szCs w:val="22"/>
                <w:lang w:val="en-US"/>
              </w:rPr>
              <w:footnoteReference w:id="1"/>
            </w:r>
          </w:p>
        </w:tc>
        <w:tc>
          <w:tcPr>
            <w:tcW w:w="1047" w:type="pct"/>
            <w:tcBorders>
              <w:top w:val="single" w:sz="4" w:space="0" w:color="auto"/>
              <w:left w:val="single" w:sz="4" w:space="0" w:color="auto"/>
              <w:bottom w:val="single" w:sz="4" w:space="0" w:color="auto"/>
              <w:right w:val="single" w:sz="4" w:space="0" w:color="auto"/>
            </w:tcBorders>
            <w:shd w:val="clear" w:color="auto" w:fill="A5A5A5"/>
            <w:hideMark/>
          </w:tcPr>
          <w:p w14:paraId="5352F18C" w14:textId="77777777" w:rsidR="00240506" w:rsidRDefault="00240506">
            <w:pPr>
              <w:spacing w:before="0" w:after="0"/>
              <w:jc w:val="center"/>
              <w:rPr>
                <w:rFonts w:ascii="Times New Roman" w:hAnsi="Times New Roman"/>
                <w:b/>
                <w:bCs/>
                <w:sz w:val="22"/>
                <w:szCs w:val="22"/>
                <w:lang w:val="en-US"/>
              </w:rPr>
            </w:pPr>
            <w:r>
              <w:rPr>
                <w:rFonts w:ascii="Times New Roman" w:hAnsi="Times New Roman"/>
                <w:b/>
                <w:bCs/>
                <w:sz w:val="22"/>
                <w:szCs w:val="22"/>
                <w:lang w:val="en-US"/>
              </w:rPr>
              <w:t>Implementation period</w:t>
            </w:r>
          </w:p>
        </w:tc>
      </w:tr>
      <w:tr w:rsidR="00240506" w14:paraId="33E6A794" w14:textId="77777777" w:rsidTr="00240506">
        <w:trPr>
          <w:trHeight w:val="479"/>
          <w:jc w:val="center"/>
        </w:trPr>
        <w:tc>
          <w:tcPr>
            <w:tcW w:w="400" w:type="pct"/>
            <w:tcBorders>
              <w:top w:val="single" w:sz="4" w:space="0" w:color="auto"/>
              <w:left w:val="single" w:sz="4" w:space="0" w:color="auto"/>
              <w:bottom w:val="single" w:sz="4" w:space="0" w:color="auto"/>
              <w:right w:val="single" w:sz="4" w:space="0" w:color="auto"/>
            </w:tcBorders>
            <w:vAlign w:val="center"/>
          </w:tcPr>
          <w:p w14:paraId="72DEE2BB" w14:textId="0B7FB7F1" w:rsidR="00240506" w:rsidRDefault="006342B1">
            <w:pPr>
              <w:spacing w:before="0" w:after="0"/>
              <w:rPr>
                <w:rFonts w:ascii="Times New Roman" w:hAnsi="Times New Roman"/>
                <w:bCs/>
                <w:sz w:val="22"/>
                <w:szCs w:val="22"/>
                <w:lang w:val="en-US"/>
              </w:rPr>
            </w:pPr>
            <w:r>
              <w:rPr>
                <w:rFonts w:ascii="Times New Roman" w:hAnsi="Times New Roman"/>
                <w:bCs/>
                <w:sz w:val="22"/>
                <w:szCs w:val="22"/>
                <w:lang w:val="en-US"/>
              </w:rPr>
              <w:t>1</w:t>
            </w:r>
            <w:r w:rsidR="00240506">
              <w:rPr>
                <w:rFonts w:ascii="Times New Roman" w:hAnsi="Times New Roman"/>
                <w:bCs/>
                <w:sz w:val="22"/>
                <w:szCs w:val="22"/>
                <w:lang w:val="en-US"/>
              </w:rPr>
              <w:t>.1</w:t>
            </w:r>
          </w:p>
          <w:p w14:paraId="6BAD1A4A" w14:textId="77777777" w:rsidR="00240506" w:rsidRDefault="00240506">
            <w:pPr>
              <w:spacing w:before="0" w:after="0"/>
              <w:jc w:val="both"/>
              <w:rPr>
                <w:rFonts w:ascii="Times New Roman" w:hAnsi="Times New Roman"/>
                <w:sz w:val="22"/>
                <w:szCs w:val="22"/>
                <w:lang w:val="en-US"/>
              </w:rPr>
            </w:pPr>
          </w:p>
        </w:tc>
        <w:tc>
          <w:tcPr>
            <w:tcW w:w="1305" w:type="pct"/>
            <w:tcBorders>
              <w:top w:val="single" w:sz="4" w:space="0" w:color="auto"/>
              <w:left w:val="single" w:sz="4" w:space="0" w:color="auto"/>
              <w:bottom w:val="single" w:sz="4" w:space="0" w:color="auto"/>
              <w:right w:val="single" w:sz="4" w:space="0" w:color="auto"/>
            </w:tcBorders>
            <w:vAlign w:val="center"/>
            <w:hideMark/>
          </w:tcPr>
          <w:p w14:paraId="6AD67A8C" w14:textId="77777777" w:rsidR="00240506" w:rsidRDefault="00240506">
            <w:pPr>
              <w:spacing w:before="0" w:after="0"/>
              <w:rPr>
                <w:rFonts w:ascii="Times New Roman" w:hAnsi="Times New Roman"/>
                <w:bCs/>
                <w:sz w:val="22"/>
                <w:szCs w:val="22"/>
                <w:lang w:val="en-US"/>
              </w:rPr>
            </w:pPr>
            <w:r>
              <w:rPr>
                <w:rFonts w:ascii="Times New Roman" w:hAnsi="Times New Roman"/>
                <w:bCs/>
                <w:sz w:val="22"/>
                <w:szCs w:val="22"/>
                <w:lang w:val="en-US"/>
              </w:rPr>
              <w:t>Electric bicycle</w:t>
            </w:r>
          </w:p>
        </w:tc>
        <w:tc>
          <w:tcPr>
            <w:tcW w:w="646" w:type="pct"/>
            <w:vMerge w:val="restart"/>
            <w:tcBorders>
              <w:top w:val="single" w:sz="4" w:space="0" w:color="000000"/>
              <w:left w:val="single" w:sz="4" w:space="0" w:color="000000"/>
              <w:bottom w:val="single" w:sz="4" w:space="0" w:color="000000"/>
              <w:right w:val="single" w:sz="4" w:space="0" w:color="000000"/>
            </w:tcBorders>
            <w:vAlign w:val="center"/>
          </w:tcPr>
          <w:p w14:paraId="41283BD4" w14:textId="77777777" w:rsidR="00240506" w:rsidRDefault="00240506">
            <w:pPr>
              <w:spacing w:before="0" w:after="0"/>
              <w:rPr>
                <w:rFonts w:ascii="Times New Roman" w:hAnsi="Times New Roman"/>
                <w:bCs/>
                <w:sz w:val="22"/>
                <w:szCs w:val="22"/>
                <w:lang w:val="en-US"/>
              </w:rPr>
            </w:pPr>
            <w:r>
              <w:rPr>
                <w:rFonts w:ascii="Times New Roman" w:hAnsi="Times New Roman"/>
                <w:bCs/>
                <w:sz w:val="22"/>
                <w:szCs w:val="22"/>
                <w:lang w:val="en-US"/>
              </w:rPr>
              <w:t>50 (each)</w:t>
            </w:r>
          </w:p>
          <w:p w14:paraId="3F8C0E4E" w14:textId="77777777" w:rsidR="00240506" w:rsidRDefault="00240506">
            <w:pPr>
              <w:spacing w:before="0" w:after="0"/>
              <w:rPr>
                <w:rFonts w:ascii="Times New Roman" w:hAnsi="Times New Roman"/>
                <w:sz w:val="22"/>
                <w:szCs w:val="22"/>
                <w:lang w:val="en-US"/>
              </w:rPr>
            </w:pPr>
          </w:p>
        </w:tc>
        <w:tc>
          <w:tcPr>
            <w:tcW w:w="1602" w:type="pct"/>
            <w:vMerge w:val="restart"/>
            <w:tcBorders>
              <w:top w:val="single" w:sz="4" w:space="0" w:color="auto"/>
              <w:left w:val="single" w:sz="4" w:space="0" w:color="auto"/>
              <w:bottom w:val="single" w:sz="4" w:space="0" w:color="auto"/>
              <w:right w:val="single" w:sz="4" w:space="0" w:color="auto"/>
            </w:tcBorders>
            <w:vAlign w:val="center"/>
            <w:hideMark/>
          </w:tcPr>
          <w:p w14:paraId="7B0D9B74" w14:textId="77777777" w:rsidR="00240506" w:rsidRDefault="00240506">
            <w:pPr>
              <w:spacing w:before="0" w:after="0"/>
              <w:rPr>
                <w:rFonts w:ascii="Times New Roman" w:hAnsi="Times New Roman"/>
                <w:sz w:val="22"/>
                <w:szCs w:val="22"/>
                <w:lang w:val="en-US"/>
              </w:rPr>
            </w:pPr>
            <w:proofErr w:type="spellStart"/>
            <w:r>
              <w:rPr>
                <w:rFonts w:ascii="Times New Roman" w:hAnsi="Times New Roman"/>
                <w:bCs/>
                <w:sz w:val="22"/>
                <w:szCs w:val="22"/>
                <w:lang w:val="en-US"/>
              </w:rPr>
              <w:t>Kahramanmaraş</w:t>
            </w:r>
            <w:proofErr w:type="spellEnd"/>
            <w:r>
              <w:rPr>
                <w:rFonts w:ascii="Times New Roman" w:hAnsi="Times New Roman"/>
                <w:bCs/>
                <w:sz w:val="22"/>
                <w:szCs w:val="22"/>
                <w:lang w:val="en-US"/>
              </w:rPr>
              <w:t xml:space="preserve"> </w:t>
            </w:r>
            <w:proofErr w:type="spellStart"/>
            <w:r>
              <w:rPr>
                <w:rFonts w:ascii="Times New Roman" w:hAnsi="Times New Roman"/>
                <w:bCs/>
                <w:sz w:val="22"/>
                <w:szCs w:val="22"/>
                <w:lang w:val="en-US"/>
              </w:rPr>
              <w:t>Büyükşehir</w:t>
            </w:r>
            <w:proofErr w:type="spellEnd"/>
            <w:r>
              <w:rPr>
                <w:rFonts w:ascii="Times New Roman" w:hAnsi="Times New Roman"/>
                <w:bCs/>
                <w:sz w:val="22"/>
                <w:szCs w:val="22"/>
                <w:lang w:val="en-US"/>
              </w:rPr>
              <w:t xml:space="preserve"> Belediyesi </w:t>
            </w:r>
            <w:proofErr w:type="spellStart"/>
            <w:r>
              <w:rPr>
                <w:rFonts w:ascii="Times New Roman" w:hAnsi="Times New Roman"/>
                <w:bCs/>
                <w:sz w:val="22"/>
                <w:szCs w:val="22"/>
                <w:lang w:val="en-US"/>
              </w:rPr>
              <w:t>Trafik</w:t>
            </w:r>
            <w:proofErr w:type="spellEnd"/>
            <w:r>
              <w:rPr>
                <w:rFonts w:ascii="Times New Roman" w:hAnsi="Times New Roman"/>
                <w:bCs/>
                <w:sz w:val="22"/>
                <w:szCs w:val="22"/>
                <w:lang w:val="en-US"/>
              </w:rPr>
              <w:t xml:space="preserve"> </w:t>
            </w:r>
            <w:proofErr w:type="spellStart"/>
            <w:r>
              <w:rPr>
                <w:rFonts w:ascii="Times New Roman" w:hAnsi="Times New Roman"/>
                <w:bCs/>
                <w:sz w:val="22"/>
                <w:szCs w:val="22"/>
                <w:lang w:val="en-US"/>
              </w:rPr>
              <w:t>ve</w:t>
            </w:r>
            <w:proofErr w:type="spellEnd"/>
            <w:r>
              <w:rPr>
                <w:rFonts w:ascii="Times New Roman" w:hAnsi="Times New Roman"/>
                <w:bCs/>
                <w:sz w:val="22"/>
                <w:szCs w:val="22"/>
                <w:lang w:val="en-US"/>
              </w:rPr>
              <w:t xml:space="preserve"> Akıllı </w:t>
            </w:r>
            <w:proofErr w:type="spellStart"/>
            <w:r>
              <w:rPr>
                <w:rFonts w:ascii="Times New Roman" w:hAnsi="Times New Roman"/>
                <w:bCs/>
                <w:sz w:val="22"/>
                <w:szCs w:val="22"/>
                <w:lang w:val="en-US"/>
              </w:rPr>
              <w:t>Ulaşım</w:t>
            </w:r>
            <w:proofErr w:type="spellEnd"/>
            <w:r>
              <w:rPr>
                <w:rFonts w:ascii="Times New Roman" w:hAnsi="Times New Roman"/>
                <w:bCs/>
                <w:sz w:val="22"/>
                <w:szCs w:val="22"/>
                <w:lang w:val="en-US"/>
              </w:rPr>
              <w:t xml:space="preserve"> </w:t>
            </w:r>
            <w:proofErr w:type="spellStart"/>
            <w:r>
              <w:rPr>
                <w:rFonts w:ascii="Times New Roman" w:hAnsi="Times New Roman"/>
                <w:bCs/>
                <w:sz w:val="22"/>
                <w:szCs w:val="22"/>
                <w:lang w:val="en-US"/>
              </w:rPr>
              <w:t>Sistemleri</w:t>
            </w:r>
            <w:proofErr w:type="spellEnd"/>
            <w:r>
              <w:rPr>
                <w:rFonts w:ascii="Times New Roman" w:hAnsi="Times New Roman"/>
                <w:bCs/>
                <w:sz w:val="22"/>
                <w:szCs w:val="22"/>
                <w:lang w:val="en-US"/>
              </w:rPr>
              <w:t xml:space="preserve"> </w:t>
            </w:r>
            <w:proofErr w:type="spellStart"/>
            <w:r>
              <w:rPr>
                <w:rFonts w:ascii="Times New Roman" w:hAnsi="Times New Roman"/>
                <w:bCs/>
                <w:sz w:val="22"/>
                <w:szCs w:val="22"/>
                <w:lang w:val="en-US"/>
              </w:rPr>
              <w:t>Müdürlüğü</w:t>
            </w:r>
            <w:proofErr w:type="spellEnd"/>
            <w:r>
              <w:rPr>
                <w:rFonts w:ascii="Times New Roman" w:hAnsi="Times New Roman"/>
                <w:bCs/>
                <w:sz w:val="22"/>
                <w:szCs w:val="22"/>
                <w:lang w:val="en-US"/>
              </w:rPr>
              <w:t xml:space="preserve"> </w:t>
            </w:r>
            <w:proofErr w:type="spellStart"/>
            <w:r>
              <w:rPr>
                <w:rFonts w:ascii="Times New Roman" w:hAnsi="Times New Roman"/>
                <w:bCs/>
                <w:sz w:val="22"/>
                <w:szCs w:val="22"/>
                <w:lang w:val="en-US"/>
              </w:rPr>
              <w:t>Deposu</w:t>
            </w:r>
            <w:proofErr w:type="spellEnd"/>
            <w:r>
              <w:rPr>
                <w:rFonts w:ascii="Times New Roman" w:hAnsi="Times New Roman"/>
                <w:bCs/>
                <w:sz w:val="22"/>
                <w:szCs w:val="22"/>
                <w:lang w:val="en-US"/>
              </w:rPr>
              <w:t xml:space="preserve">, 21047 Sok. </w:t>
            </w:r>
            <w:proofErr w:type="spellStart"/>
            <w:r>
              <w:rPr>
                <w:rFonts w:ascii="Times New Roman" w:hAnsi="Times New Roman"/>
                <w:bCs/>
                <w:sz w:val="22"/>
                <w:szCs w:val="22"/>
                <w:lang w:val="en-US"/>
              </w:rPr>
              <w:t>İstasyon</w:t>
            </w:r>
            <w:proofErr w:type="spellEnd"/>
            <w:r>
              <w:rPr>
                <w:rFonts w:ascii="Times New Roman" w:hAnsi="Times New Roman"/>
                <w:bCs/>
                <w:sz w:val="22"/>
                <w:szCs w:val="22"/>
                <w:lang w:val="en-US"/>
              </w:rPr>
              <w:t xml:space="preserve"> Mah. </w:t>
            </w:r>
            <w:proofErr w:type="spellStart"/>
            <w:r>
              <w:rPr>
                <w:rFonts w:ascii="Times New Roman" w:hAnsi="Times New Roman"/>
                <w:bCs/>
                <w:sz w:val="22"/>
                <w:szCs w:val="22"/>
                <w:lang w:val="en-US"/>
              </w:rPr>
              <w:t>Dulkadiroğlu</w:t>
            </w:r>
            <w:proofErr w:type="spellEnd"/>
            <w:r>
              <w:rPr>
                <w:rFonts w:ascii="Times New Roman" w:hAnsi="Times New Roman"/>
                <w:bCs/>
                <w:sz w:val="22"/>
                <w:szCs w:val="22"/>
                <w:lang w:val="en-US"/>
              </w:rPr>
              <w:t xml:space="preserve">/ </w:t>
            </w:r>
            <w:proofErr w:type="spellStart"/>
            <w:r>
              <w:rPr>
                <w:rFonts w:ascii="Times New Roman" w:hAnsi="Times New Roman"/>
                <w:bCs/>
                <w:sz w:val="22"/>
                <w:szCs w:val="22"/>
                <w:lang w:val="en-US"/>
              </w:rPr>
              <w:t>Kahramanmaraş</w:t>
            </w:r>
            <w:proofErr w:type="spellEnd"/>
          </w:p>
        </w:tc>
        <w:tc>
          <w:tcPr>
            <w:tcW w:w="1047" w:type="pct"/>
            <w:vMerge w:val="restart"/>
            <w:tcBorders>
              <w:top w:val="single" w:sz="4" w:space="0" w:color="auto"/>
              <w:left w:val="single" w:sz="4" w:space="0" w:color="auto"/>
              <w:bottom w:val="single" w:sz="4" w:space="0" w:color="auto"/>
              <w:right w:val="single" w:sz="4" w:space="0" w:color="auto"/>
            </w:tcBorders>
            <w:vAlign w:val="center"/>
          </w:tcPr>
          <w:p w14:paraId="5411982B" w14:textId="19DD7E04" w:rsidR="00240506" w:rsidRDefault="007403DB">
            <w:pPr>
              <w:spacing w:before="0" w:after="0"/>
              <w:rPr>
                <w:rFonts w:ascii="Times New Roman" w:hAnsi="Times New Roman"/>
                <w:bCs/>
                <w:sz w:val="22"/>
                <w:szCs w:val="22"/>
                <w:lang w:val="en-US"/>
              </w:rPr>
            </w:pPr>
            <w:r>
              <w:rPr>
                <w:rFonts w:ascii="Times New Roman" w:hAnsi="Times New Roman"/>
                <w:bCs/>
                <w:sz w:val="22"/>
                <w:szCs w:val="22"/>
                <w:lang w:val="en-US"/>
              </w:rPr>
              <w:t>1</w:t>
            </w:r>
            <w:r w:rsidR="0018506A">
              <w:rPr>
                <w:rFonts w:ascii="Times New Roman" w:hAnsi="Times New Roman"/>
                <w:bCs/>
                <w:sz w:val="22"/>
                <w:szCs w:val="22"/>
                <w:lang w:val="en-US"/>
              </w:rPr>
              <w:t>5</w:t>
            </w:r>
            <w:r>
              <w:rPr>
                <w:rFonts w:ascii="Times New Roman" w:hAnsi="Times New Roman"/>
                <w:bCs/>
                <w:sz w:val="22"/>
                <w:szCs w:val="22"/>
                <w:lang w:val="en-US"/>
              </w:rPr>
              <w:t xml:space="preserve">0 </w:t>
            </w:r>
            <w:r w:rsidR="00240506">
              <w:rPr>
                <w:rFonts w:ascii="Times New Roman" w:hAnsi="Times New Roman"/>
                <w:bCs/>
                <w:sz w:val="22"/>
                <w:szCs w:val="22"/>
                <w:lang w:val="en-US"/>
              </w:rPr>
              <w:t>days</w:t>
            </w:r>
          </w:p>
          <w:p w14:paraId="42077A2B" w14:textId="77777777" w:rsidR="00240506" w:rsidRDefault="00240506">
            <w:pPr>
              <w:spacing w:before="0" w:after="0"/>
              <w:rPr>
                <w:rFonts w:ascii="Times New Roman" w:hAnsi="Times New Roman"/>
                <w:sz w:val="22"/>
                <w:szCs w:val="22"/>
                <w:lang w:val="en-US"/>
              </w:rPr>
            </w:pPr>
          </w:p>
        </w:tc>
      </w:tr>
      <w:tr w:rsidR="00240506" w14:paraId="5B879D9F" w14:textId="77777777" w:rsidTr="00240506">
        <w:trPr>
          <w:trHeight w:val="473"/>
          <w:jc w:val="center"/>
        </w:trPr>
        <w:tc>
          <w:tcPr>
            <w:tcW w:w="400" w:type="pct"/>
            <w:tcBorders>
              <w:top w:val="single" w:sz="4" w:space="0" w:color="auto"/>
              <w:left w:val="single" w:sz="4" w:space="0" w:color="auto"/>
              <w:bottom w:val="single" w:sz="4" w:space="0" w:color="auto"/>
              <w:right w:val="single" w:sz="4" w:space="0" w:color="auto"/>
            </w:tcBorders>
            <w:vAlign w:val="center"/>
            <w:hideMark/>
          </w:tcPr>
          <w:p w14:paraId="32B79815" w14:textId="3DC049A1" w:rsidR="00240506" w:rsidRDefault="006342B1">
            <w:pPr>
              <w:spacing w:before="0" w:after="0"/>
              <w:rPr>
                <w:rFonts w:ascii="Times New Roman" w:hAnsi="Times New Roman"/>
                <w:bCs/>
                <w:sz w:val="22"/>
                <w:szCs w:val="22"/>
                <w:lang w:val="en-US"/>
              </w:rPr>
            </w:pPr>
            <w:r>
              <w:rPr>
                <w:rFonts w:ascii="Times New Roman" w:hAnsi="Times New Roman"/>
                <w:bCs/>
                <w:sz w:val="22"/>
                <w:szCs w:val="22"/>
                <w:lang w:val="en-US"/>
              </w:rPr>
              <w:t>1</w:t>
            </w:r>
            <w:r w:rsidR="00240506">
              <w:rPr>
                <w:rFonts w:ascii="Times New Roman" w:hAnsi="Times New Roman"/>
                <w:bCs/>
                <w:sz w:val="22"/>
                <w:szCs w:val="22"/>
                <w:lang w:val="en-US"/>
              </w:rPr>
              <w:t>.2</w:t>
            </w:r>
          </w:p>
        </w:tc>
        <w:tc>
          <w:tcPr>
            <w:tcW w:w="1305" w:type="pct"/>
            <w:tcBorders>
              <w:top w:val="single" w:sz="4" w:space="0" w:color="auto"/>
              <w:left w:val="single" w:sz="4" w:space="0" w:color="auto"/>
              <w:bottom w:val="single" w:sz="4" w:space="0" w:color="auto"/>
              <w:right w:val="single" w:sz="4" w:space="0" w:color="auto"/>
            </w:tcBorders>
            <w:vAlign w:val="center"/>
            <w:hideMark/>
          </w:tcPr>
          <w:p w14:paraId="485223C3" w14:textId="77777777" w:rsidR="00240506" w:rsidRDefault="00240506">
            <w:pPr>
              <w:spacing w:before="0" w:after="0"/>
              <w:rPr>
                <w:rFonts w:ascii="Times New Roman" w:hAnsi="Times New Roman"/>
                <w:bCs/>
                <w:sz w:val="22"/>
                <w:szCs w:val="22"/>
                <w:lang w:val="en-US"/>
              </w:rPr>
            </w:pPr>
            <w:r>
              <w:rPr>
                <w:rFonts w:ascii="Times New Roman" w:hAnsi="Times New Roman"/>
                <w:bCs/>
                <w:sz w:val="22"/>
                <w:szCs w:val="22"/>
                <w:lang w:val="en-US"/>
              </w:rPr>
              <w:t>Bicycle battery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32CA48" w14:textId="77777777" w:rsidR="00240506" w:rsidRDefault="00240506">
            <w:pPr>
              <w:spacing w:before="0" w:after="0"/>
              <w:rPr>
                <w:rFonts w:ascii="Times New Roman" w:hAnsi="Times New Roman"/>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6E8D9" w14:textId="77777777" w:rsidR="00240506" w:rsidRDefault="00240506">
            <w:pPr>
              <w:spacing w:before="0" w:after="0"/>
              <w:rPr>
                <w:rFonts w:ascii="Times New Roman" w:hAnsi="Times New Roman"/>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FAB9D" w14:textId="77777777" w:rsidR="00240506" w:rsidRDefault="00240506">
            <w:pPr>
              <w:spacing w:before="0" w:after="0"/>
              <w:rPr>
                <w:rFonts w:ascii="Times New Roman" w:hAnsi="Times New Roman"/>
                <w:sz w:val="22"/>
                <w:szCs w:val="22"/>
                <w:lang w:val="en-US"/>
              </w:rPr>
            </w:pPr>
          </w:p>
        </w:tc>
      </w:tr>
      <w:tr w:rsidR="00240506" w14:paraId="0920E297" w14:textId="77777777" w:rsidTr="00240506">
        <w:trPr>
          <w:trHeight w:val="315"/>
          <w:jc w:val="center"/>
        </w:trPr>
        <w:tc>
          <w:tcPr>
            <w:tcW w:w="400" w:type="pct"/>
            <w:tcBorders>
              <w:top w:val="single" w:sz="4" w:space="0" w:color="auto"/>
              <w:left w:val="single" w:sz="4" w:space="0" w:color="auto"/>
              <w:bottom w:val="single" w:sz="4" w:space="0" w:color="auto"/>
              <w:right w:val="single" w:sz="4" w:space="0" w:color="auto"/>
            </w:tcBorders>
            <w:vAlign w:val="center"/>
            <w:hideMark/>
          </w:tcPr>
          <w:p w14:paraId="7CB6B2B3" w14:textId="14D57E5B" w:rsidR="00240506" w:rsidRDefault="006342B1">
            <w:pPr>
              <w:spacing w:before="0" w:after="0"/>
              <w:jc w:val="both"/>
              <w:rPr>
                <w:rFonts w:ascii="Times New Roman" w:hAnsi="Times New Roman"/>
                <w:sz w:val="22"/>
                <w:szCs w:val="22"/>
                <w:lang w:val="en-US"/>
              </w:rPr>
            </w:pPr>
            <w:r>
              <w:rPr>
                <w:rFonts w:ascii="Times New Roman" w:hAnsi="Times New Roman"/>
                <w:sz w:val="22"/>
                <w:szCs w:val="22"/>
                <w:lang w:val="en-US"/>
              </w:rPr>
              <w:t>1</w:t>
            </w:r>
            <w:r w:rsidR="00240506">
              <w:rPr>
                <w:rFonts w:ascii="Times New Roman" w:hAnsi="Times New Roman"/>
                <w:sz w:val="22"/>
                <w:szCs w:val="22"/>
                <w:lang w:val="en-US"/>
              </w:rPr>
              <w:t>.3</w:t>
            </w:r>
          </w:p>
        </w:tc>
        <w:tc>
          <w:tcPr>
            <w:tcW w:w="1305" w:type="pct"/>
            <w:tcBorders>
              <w:top w:val="single" w:sz="4" w:space="0" w:color="auto"/>
              <w:left w:val="single" w:sz="4" w:space="0" w:color="auto"/>
              <w:bottom w:val="single" w:sz="4" w:space="0" w:color="auto"/>
              <w:right w:val="single" w:sz="4" w:space="0" w:color="auto"/>
            </w:tcBorders>
            <w:vAlign w:val="center"/>
            <w:hideMark/>
          </w:tcPr>
          <w:p w14:paraId="07F28A59" w14:textId="77777777" w:rsidR="00240506" w:rsidRDefault="00240506">
            <w:pPr>
              <w:spacing w:before="0" w:after="0"/>
              <w:rPr>
                <w:rFonts w:ascii="Times New Roman" w:hAnsi="Times New Roman"/>
                <w:bCs/>
                <w:sz w:val="22"/>
                <w:szCs w:val="22"/>
                <w:lang w:val="en-US"/>
              </w:rPr>
            </w:pPr>
            <w:r>
              <w:rPr>
                <w:rFonts w:ascii="Times New Roman" w:hAnsi="Times New Roman"/>
                <w:bCs/>
                <w:sz w:val="22"/>
                <w:szCs w:val="22"/>
                <w:lang w:val="en-US"/>
              </w:rPr>
              <w:t>Bicycle battery charger</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B21B9F" w14:textId="77777777" w:rsidR="00240506" w:rsidRDefault="00240506">
            <w:pPr>
              <w:spacing w:before="0" w:after="0"/>
              <w:rPr>
                <w:rFonts w:ascii="Times New Roman" w:hAnsi="Times New Roman"/>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A91CF" w14:textId="77777777" w:rsidR="00240506" w:rsidRDefault="00240506">
            <w:pPr>
              <w:spacing w:before="0" w:after="0"/>
              <w:rPr>
                <w:rFonts w:ascii="Times New Roman" w:hAnsi="Times New Roman"/>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86D2C" w14:textId="77777777" w:rsidR="00240506" w:rsidRDefault="00240506">
            <w:pPr>
              <w:spacing w:before="0" w:after="0"/>
              <w:rPr>
                <w:rFonts w:ascii="Times New Roman" w:hAnsi="Times New Roman"/>
                <w:sz w:val="22"/>
                <w:szCs w:val="22"/>
                <w:lang w:val="en-US"/>
              </w:rPr>
            </w:pPr>
          </w:p>
        </w:tc>
      </w:tr>
    </w:tbl>
    <w:p w14:paraId="078CB720" w14:textId="77777777" w:rsidR="00026D9A" w:rsidRPr="007B70EE" w:rsidRDefault="00026D9A" w:rsidP="00026D9A">
      <w:pPr>
        <w:tabs>
          <w:tab w:val="left" w:pos="709"/>
          <w:tab w:val="left" w:pos="993"/>
        </w:tabs>
        <w:spacing w:before="240"/>
        <w:ind w:left="709"/>
        <w:jc w:val="both"/>
        <w:rPr>
          <w:rFonts w:ascii="Times New Roman" w:hAnsi="Times New Roman"/>
          <w:sz w:val="22"/>
        </w:rPr>
      </w:pPr>
      <w:r w:rsidRPr="007B70EE">
        <w:rPr>
          <w:rFonts w:ascii="Times New Roman" w:hAnsi="Times New Roman"/>
          <w:sz w:val="22"/>
        </w:rPr>
        <w:t xml:space="preserve">The place of acceptance of the supplies shall be </w:t>
      </w:r>
      <w:r w:rsidRPr="00C431F8">
        <w:rPr>
          <w:rFonts w:ascii="Times New Roman" w:hAnsi="Times New Roman"/>
          <w:sz w:val="22"/>
        </w:rPr>
        <w:t>as indicated in Instructions to Tenderers (ITT)</w:t>
      </w:r>
      <w:r w:rsidRPr="007B70EE">
        <w:rPr>
          <w:rFonts w:ascii="Times New Roman" w:hAnsi="Times New Roman"/>
          <w:sz w:val="22"/>
        </w:rPr>
        <w:t xml:space="preserve">, and the Incoterm applicable shall </w:t>
      </w:r>
      <w:r w:rsidRPr="00C431F8">
        <w:rPr>
          <w:rFonts w:ascii="Times New Roman" w:hAnsi="Times New Roman"/>
          <w:sz w:val="22"/>
        </w:rPr>
        <w:t>be DDP.</w:t>
      </w:r>
      <w:r w:rsidRPr="00A940DC">
        <w:rPr>
          <w:rFonts w:ascii="Times New Roman" w:hAnsi="Times New Roman"/>
          <w:sz w:val="22"/>
        </w:rPr>
        <w:t xml:space="preserve"> The implementation period</w:t>
      </w:r>
      <w:r>
        <w:rPr>
          <w:rFonts w:ascii="Times New Roman" w:hAnsi="Times New Roman"/>
          <w:sz w:val="22"/>
        </w:rPr>
        <w:t xml:space="preserve"> of tasks</w:t>
      </w:r>
      <w:r w:rsidRPr="00A940DC">
        <w:rPr>
          <w:rFonts w:ascii="Times New Roman" w:hAnsi="Times New Roman"/>
          <w:sz w:val="22"/>
        </w:rPr>
        <w:t xml:space="preserve"> shall run from </w:t>
      </w:r>
      <w:r w:rsidRPr="00C431F8">
        <w:rPr>
          <w:rFonts w:ascii="Times New Roman" w:hAnsi="Times New Roman"/>
          <w:sz w:val="22"/>
        </w:rPr>
        <w:t>the commencement to provisional acceptance.</w:t>
      </w:r>
    </w:p>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404B96C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w:t>
      </w:r>
    </w:p>
    <w:p w14:paraId="01FF9F87" w14:textId="35704876" w:rsidR="00C05EBE" w:rsidRPr="00DD0DD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technical offer (Annex III </w:t>
      </w:r>
      <w:r w:rsidRPr="001C4573">
        <w:rPr>
          <w:rFonts w:ascii="Times New Roman" w:hAnsi="Times New Roman"/>
          <w:sz w:val="22"/>
        </w:rPr>
        <w:t xml:space="preserve">including </w:t>
      </w:r>
      <w:r w:rsidR="00886E8B" w:rsidRPr="00DD0DDE">
        <w:rPr>
          <w:rFonts w:ascii="Times New Roman" w:hAnsi="Times New Roman"/>
          <w:sz w:val="22"/>
        </w:rPr>
        <w:t>clarifications from the tenderer provided during tender evaluation</w:t>
      </w:r>
      <w:r w:rsidRPr="00DD0DDE">
        <w:rPr>
          <w:rFonts w:ascii="Times New Roman" w:hAnsi="Times New Roman"/>
          <w:sz w:val="22"/>
        </w:rPr>
        <w:t>);</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0579C3B2" w:rsidR="00C05EBE" w:rsidRPr="00D0091D" w:rsidRDefault="00C05EBE" w:rsidP="00B5440B">
      <w:pPr>
        <w:numPr>
          <w:ilvl w:val="0"/>
          <w:numId w:val="1"/>
        </w:numPr>
        <w:tabs>
          <w:tab w:val="clear" w:pos="360"/>
        </w:tabs>
        <w:spacing w:before="0" w:after="240"/>
        <w:ind w:left="709" w:hanging="425"/>
        <w:jc w:val="both"/>
        <w:rPr>
          <w:rFonts w:ascii="Times New Roman" w:hAnsi="Times New Roman"/>
          <w:sz w:val="22"/>
        </w:rPr>
      </w:pPr>
      <w:r w:rsidRPr="00D0091D">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lastRenderedPageBreak/>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11E51CB7" w:rsidR="0047783A"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7777777" w:rsidR="003F3783" w:rsidRPr="003F3783" w:rsidRDefault="000724EA" w:rsidP="00B5440B">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25379D2D" w14:textId="4F137679" w:rsidR="003F3783" w:rsidRDefault="003F3783" w:rsidP="006C6972">
      <w:pPr>
        <w:spacing w:before="0"/>
        <w:ind w:left="1134" w:hanging="567"/>
        <w:jc w:val="both"/>
        <w:rPr>
          <w:rFonts w:ascii="Times New Roman" w:hAnsi="Times New Roman"/>
          <w:sz w:val="22"/>
          <w:szCs w:val="22"/>
        </w:rPr>
      </w:pPr>
      <w:bookmarkStart w:id="6" w:name="_Hlk133420420"/>
      <w:bookmarkEnd w:id="5"/>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14:paraId="33D7870F" w14:textId="10AA068B" w:rsidR="00805AEA" w:rsidRPr="00AC2B23" w:rsidRDefault="00805AEA" w:rsidP="00805AEA">
      <w:pPr>
        <w:spacing w:before="0"/>
        <w:ind w:left="1134"/>
        <w:jc w:val="both"/>
        <w:rPr>
          <w:rFonts w:ascii="Times New Roman" w:hAnsi="Times New Roman"/>
          <w:sz w:val="22"/>
          <w:szCs w:val="22"/>
        </w:rPr>
      </w:pPr>
      <w:r w:rsidRPr="00AC2B23">
        <w:rPr>
          <w:rFonts w:ascii="Times New Roman" w:hAnsi="Times New Roman"/>
          <w:sz w:val="22"/>
          <w:szCs w:val="22"/>
        </w:rPr>
        <w:t>After the entry into force of this contract, at any time during its course the contracting authority may formally notify in writing the contractor that certain communications will be made by electronic means through the EU Funding &amp; Tenders Portal (the Portal), in accordance with the Portal Terms and Conditions and using the forms and templates provided there. The Portal can be accessed via the following URL: https://ec.europa.eu/info/funding-tenders/opportunities/portal/ The notification shall indicate whether all or only certain communications under the contract will take place through the Portal. The notification shall have full legal effect from the date specified therein, which shall allow a reasonable period of time for the contractor to complete all necessary steps to have access to the Portal. The activation of the use of the Portal shall be at no additional cost for the contracting authority.</w:t>
      </w:r>
    </w:p>
    <w:p w14:paraId="6E651D78" w14:textId="77777777" w:rsidR="00805AEA" w:rsidRPr="00AC2B23" w:rsidRDefault="00805AEA" w:rsidP="00805AEA">
      <w:pPr>
        <w:spacing w:before="0"/>
        <w:ind w:left="1134"/>
        <w:jc w:val="both"/>
        <w:rPr>
          <w:rFonts w:ascii="Times New Roman" w:hAnsi="Times New Roman"/>
          <w:sz w:val="22"/>
          <w:szCs w:val="22"/>
        </w:rPr>
      </w:pPr>
      <w:r w:rsidRPr="00AC2B23">
        <w:rPr>
          <w:rFonts w:ascii="Times New Roman" w:hAnsi="Times New Roman"/>
          <w:sz w:val="22"/>
          <w:szCs w:val="22"/>
        </w:rPr>
        <w:t>If the use of the Portal is activated, any communication covered by the activation notification related to the implementation of this contract shall be made through the Portal (except if explicitly instructed otherwise by the contracting authority or if communication via the Portal is hindered by factors beyond the control of the parties).</w:t>
      </w:r>
    </w:p>
    <w:p w14:paraId="38286853" w14:textId="77777777" w:rsidR="00805AEA" w:rsidRPr="00AC2B23" w:rsidRDefault="00805AEA" w:rsidP="00805AEA">
      <w:pPr>
        <w:spacing w:before="0"/>
        <w:ind w:left="1134"/>
        <w:jc w:val="both"/>
        <w:rPr>
          <w:rFonts w:ascii="Times New Roman" w:hAnsi="Times New Roman"/>
          <w:sz w:val="22"/>
          <w:szCs w:val="22"/>
        </w:rPr>
      </w:pPr>
      <w:r w:rsidRPr="00AC2B23">
        <w:rPr>
          <w:rFonts w:ascii="Times New Roman" w:hAnsi="Times New Roman"/>
          <w:sz w:val="22"/>
          <w:szCs w:val="22"/>
        </w:rPr>
        <w:t>Communications by contractors through the Portal must be made by persons authorised according to the Portal Terms and Conditions. 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01370901" w14:textId="77777777" w:rsidR="00805AEA" w:rsidRPr="00AC2B23" w:rsidRDefault="00805AEA" w:rsidP="00805AEA">
      <w:pPr>
        <w:spacing w:before="0"/>
        <w:ind w:left="1134"/>
        <w:jc w:val="both"/>
        <w:rPr>
          <w:rFonts w:ascii="Times New Roman" w:hAnsi="Times New Roman"/>
          <w:sz w:val="22"/>
          <w:szCs w:val="22"/>
        </w:rPr>
      </w:pPr>
      <w:r w:rsidRPr="00AC2B23">
        <w:rPr>
          <w:rFonts w:ascii="Times New Roman" w:hAnsi="Times New Roman"/>
          <w:sz w:val="22"/>
          <w:szCs w:val="22"/>
        </w:rPr>
        <w:t>If the communication via the Portal is hindered, instructions will be provided by the contracting authority by email and may also be published on the Portal.</w:t>
      </w:r>
    </w:p>
    <w:p w14:paraId="37611E77" w14:textId="77777777" w:rsidR="00805AEA" w:rsidRPr="00AC2B23" w:rsidRDefault="00805AEA" w:rsidP="00805AEA">
      <w:pPr>
        <w:spacing w:before="0"/>
        <w:ind w:left="1134"/>
        <w:jc w:val="both"/>
        <w:rPr>
          <w:rFonts w:ascii="Times New Roman" w:hAnsi="Times New Roman"/>
          <w:sz w:val="22"/>
          <w:szCs w:val="22"/>
        </w:rPr>
      </w:pPr>
      <w:r w:rsidRPr="00AC2B23">
        <w:rPr>
          <w:rFonts w:ascii="Times New Roman" w:hAnsi="Times New Roman"/>
          <w:sz w:val="22"/>
          <w:szCs w:val="22"/>
        </w:rPr>
        <w:t>During the course of the contract, the contracting authority reserve(s) the right to further extend the coverage of the communications made through the Portal (if its use has been already activated) or to activate the use of other electronic exchange systems, at no additional cost for the contracting authority.</w:t>
      </w:r>
    </w:p>
    <w:p w14:paraId="23DA906D" w14:textId="2D2B6DAB" w:rsidR="00805AEA" w:rsidRDefault="00805AEA" w:rsidP="00805AEA">
      <w:pPr>
        <w:spacing w:before="0"/>
        <w:ind w:left="1134"/>
        <w:jc w:val="both"/>
        <w:rPr>
          <w:rFonts w:ascii="Times New Roman" w:hAnsi="Times New Roman"/>
          <w:sz w:val="22"/>
          <w:szCs w:val="22"/>
        </w:rPr>
      </w:pPr>
      <w:r w:rsidRPr="00AC2B23">
        <w:rPr>
          <w:rFonts w:ascii="Times New Roman" w:hAnsi="Times New Roman"/>
          <w:sz w:val="22"/>
          <w:szCs w:val="22"/>
        </w:rPr>
        <w:t>In case of discrepancy between the clauses of the Portal Terms and Conditions or Terms and Conditions of other electronic exchange system and the clauses of this contract, the clauses of this contract (including its annexes) shall prevail.</w:t>
      </w:r>
    </w:p>
    <w:p w14:paraId="761B071E" w14:textId="05ED0D7A" w:rsidR="007C6097" w:rsidRDefault="007C6097" w:rsidP="00805AEA">
      <w:pPr>
        <w:spacing w:before="0"/>
        <w:ind w:left="1134"/>
        <w:jc w:val="both"/>
        <w:rPr>
          <w:rFonts w:ascii="Times New Roman" w:hAnsi="Times New Roman"/>
          <w:sz w:val="22"/>
          <w:szCs w:val="22"/>
        </w:rPr>
      </w:pPr>
    </w:p>
    <w:p w14:paraId="722AB34B" w14:textId="6B2D4A5E" w:rsidR="007C6097" w:rsidRDefault="007C6097" w:rsidP="00805AEA">
      <w:pPr>
        <w:spacing w:before="0"/>
        <w:ind w:left="1134"/>
        <w:jc w:val="both"/>
        <w:rPr>
          <w:rFonts w:ascii="Times New Roman" w:hAnsi="Times New Roman"/>
          <w:sz w:val="22"/>
          <w:szCs w:val="22"/>
        </w:rPr>
      </w:pPr>
    </w:p>
    <w:p w14:paraId="438AD762" w14:textId="77777777" w:rsidR="007C6097" w:rsidRPr="00AC2B23" w:rsidRDefault="007C6097" w:rsidP="00805AEA">
      <w:pPr>
        <w:spacing w:before="0"/>
        <w:ind w:left="1134"/>
        <w:jc w:val="both"/>
        <w:rPr>
          <w:rFonts w:ascii="Times New Roman" w:hAnsi="Times New Roman"/>
          <w:sz w:val="22"/>
          <w:szCs w:val="22"/>
        </w:rPr>
      </w:pPr>
    </w:p>
    <w:p w14:paraId="38B4F1C6" w14:textId="12E378B2" w:rsidR="00805AEA" w:rsidRPr="006C6972" w:rsidRDefault="00805AEA" w:rsidP="006C6972">
      <w:pPr>
        <w:spacing w:before="0"/>
        <w:ind w:left="1134" w:hanging="567"/>
        <w:jc w:val="both"/>
        <w:rPr>
          <w:rFonts w:ascii="Times New Roman" w:hAnsi="Times New Roman"/>
          <w:b/>
          <w:bCs/>
          <w:sz w:val="22"/>
          <w:szCs w:val="22"/>
        </w:rPr>
      </w:pPr>
    </w:p>
    <w:p w14:paraId="5DAA9BA5" w14:textId="40759F59" w:rsidR="00F53D3B" w:rsidRDefault="003F3783" w:rsidP="00D1250C">
      <w:pPr>
        <w:ind w:left="1559" w:hanging="992"/>
        <w:jc w:val="both"/>
        <w:rPr>
          <w:rFonts w:ascii="Times New Roman" w:hAnsi="Times New Roman"/>
          <w:iCs/>
          <w:sz w:val="22"/>
          <w:szCs w:val="22"/>
        </w:rPr>
      </w:pPr>
      <w:r>
        <w:rPr>
          <w:rFonts w:ascii="Times New Roman" w:hAnsi="Times New Roman"/>
          <w:sz w:val="22"/>
          <w:szCs w:val="22"/>
        </w:rPr>
        <w:lastRenderedPageBreak/>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05BBAA1E" w14:textId="77777777" w:rsidR="00805AEA" w:rsidRPr="003F3783" w:rsidRDefault="00805AEA" w:rsidP="00805AEA">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6592EBC5" w14:textId="54AA8527" w:rsidR="003F3783" w:rsidRPr="006C6972" w:rsidRDefault="003F3783" w:rsidP="003F3783">
      <w:pPr>
        <w:spacing w:before="0" w:after="100" w:afterAutospacing="1"/>
        <w:ind w:left="1194"/>
        <w:textAlignment w:val="baseline"/>
        <w:rPr>
          <w:rFonts w:ascii="Times New Roman" w:hAnsi="Times New Roman"/>
          <w:b/>
          <w:bCs/>
          <w:snapToGrid/>
          <w:sz w:val="22"/>
          <w:szCs w:val="22"/>
          <w:lang w:val="en-IE" w:eastAsia="fr-BE"/>
        </w:rPr>
      </w:pPr>
      <w:r w:rsidRPr="006C6972">
        <w:rPr>
          <w:rFonts w:ascii="Times New Roman" w:hAnsi="Times New Roman"/>
          <w:b/>
          <w:bCs/>
          <w:snapToGrid/>
          <w:sz w:val="22"/>
          <w:szCs w:val="22"/>
          <w:lang w:val="en-IE" w:eastAsia="fr-BE"/>
        </w:rPr>
        <w:t xml:space="preserve">Contracting Authority  </w:t>
      </w:r>
    </w:p>
    <w:p w14:paraId="506BD435" w14:textId="383A22CC" w:rsidR="003F3783" w:rsidRPr="006C6972" w:rsidRDefault="003F3783" w:rsidP="003F3783">
      <w:pPr>
        <w:spacing w:before="0" w:after="100" w:afterAutospacing="1"/>
        <w:ind w:left="1194"/>
        <w:textAlignment w:val="baseline"/>
        <w:rPr>
          <w:rFonts w:ascii="Times New Roman" w:hAnsi="Times New Roman"/>
          <w:snapToGrid/>
          <w:sz w:val="22"/>
          <w:szCs w:val="22"/>
          <w:lang w:val="en-IE" w:eastAsia="fr-BE"/>
        </w:rPr>
      </w:pPr>
      <w:r w:rsidRPr="006C6972">
        <w:rPr>
          <w:rFonts w:ascii="Times New Roman" w:hAnsi="Times New Roman"/>
          <w:snapToGrid/>
          <w:sz w:val="22"/>
          <w:szCs w:val="22"/>
          <w:lang w:val="en-IE" w:eastAsia="fr-BE"/>
        </w:rPr>
        <w:t>Full name</w:t>
      </w:r>
      <w:r w:rsidR="006C6972" w:rsidRPr="006C6972">
        <w:rPr>
          <w:rFonts w:ascii="Times New Roman" w:hAnsi="Times New Roman"/>
          <w:snapToGrid/>
          <w:sz w:val="22"/>
          <w:szCs w:val="22"/>
          <w:lang w:val="en-IE" w:eastAsia="fr-BE"/>
        </w:rPr>
        <w:t xml:space="preserve"> M</w:t>
      </w:r>
      <w:r w:rsidR="001B1C76">
        <w:rPr>
          <w:rFonts w:ascii="Times New Roman" w:hAnsi="Times New Roman"/>
          <w:snapToGrid/>
          <w:sz w:val="22"/>
          <w:szCs w:val="22"/>
          <w:lang w:val="en-IE" w:eastAsia="fr-BE"/>
        </w:rPr>
        <w:t>r</w:t>
      </w:r>
      <w:r w:rsidR="006C6972" w:rsidRPr="006C6972">
        <w:rPr>
          <w:rFonts w:ascii="Times New Roman" w:hAnsi="Times New Roman"/>
          <w:snapToGrid/>
          <w:sz w:val="22"/>
          <w:szCs w:val="22"/>
          <w:lang w:val="en-IE" w:eastAsia="fr-BE"/>
        </w:rPr>
        <w:t xml:space="preserve">. </w:t>
      </w:r>
      <w:r w:rsidR="001B1C76">
        <w:rPr>
          <w:rFonts w:ascii="Times New Roman" w:hAnsi="Times New Roman"/>
          <w:snapToGrid/>
          <w:sz w:val="22"/>
          <w:szCs w:val="22"/>
          <w:lang w:val="en-IE" w:eastAsia="fr-BE"/>
        </w:rPr>
        <w:t>Adem KOÇ</w:t>
      </w:r>
    </w:p>
    <w:p w14:paraId="53B8E7D2" w14:textId="54303E34" w:rsidR="003F3783" w:rsidRDefault="003F3783" w:rsidP="006C6972">
      <w:pPr>
        <w:spacing w:before="0" w:after="100" w:afterAutospacing="1"/>
        <w:ind w:left="1194"/>
        <w:textAlignment w:val="baseline"/>
        <w:rPr>
          <w:rFonts w:ascii="Times New Roman" w:hAnsi="Times New Roman"/>
          <w:snapToGrid/>
          <w:sz w:val="22"/>
          <w:szCs w:val="22"/>
          <w:lang w:val="en-IE" w:eastAsia="fr-BE"/>
        </w:rPr>
      </w:pPr>
      <w:r w:rsidRPr="006C6972">
        <w:rPr>
          <w:rFonts w:ascii="Times New Roman" w:hAnsi="Times New Roman"/>
          <w:snapToGrid/>
          <w:sz w:val="22"/>
          <w:szCs w:val="22"/>
          <w:lang w:val="en-IE" w:eastAsia="fr-BE"/>
        </w:rPr>
        <w:t>Full official address</w:t>
      </w:r>
      <w:r w:rsidR="006C6972" w:rsidRPr="006C6972">
        <w:rPr>
          <w:rFonts w:ascii="Times New Roman" w:hAnsi="Times New Roman"/>
          <w:snapToGrid/>
          <w:sz w:val="22"/>
          <w:szCs w:val="22"/>
          <w:lang w:val="en-IE" w:eastAsia="fr-BE"/>
        </w:rPr>
        <w:t xml:space="preserve"> </w:t>
      </w:r>
      <w:proofErr w:type="spellStart"/>
      <w:r w:rsidR="006C6972" w:rsidRPr="006C6972">
        <w:rPr>
          <w:rFonts w:ascii="Times New Roman" w:hAnsi="Times New Roman"/>
          <w:snapToGrid/>
          <w:sz w:val="22"/>
          <w:szCs w:val="22"/>
          <w:lang w:val="en-IE" w:eastAsia="fr-BE"/>
        </w:rPr>
        <w:t>Hakkı</w:t>
      </w:r>
      <w:proofErr w:type="spellEnd"/>
      <w:r w:rsidR="006C6972" w:rsidRPr="006C6972">
        <w:rPr>
          <w:rFonts w:ascii="Times New Roman" w:hAnsi="Times New Roman"/>
          <w:snapToGrid/>
          <w:sz w:val="22"/>
          <w:szCs w:val="22"/>
          <w:lang w:val="en-IE" w:eastAsia="fr-BE"/>
        </w:rPr>
        <w:t xml:space="preserve"> </w:t>
      </w:r>
      <w:proofErr w:type="spellStart"/>
      <w:r w:rsidR="006C6972" w:rsidRPr="006C6972">
        <w:rPr>
          <w:rFonts w:ascii="Times New Roman" w:hAnsi="Times New Roman"/>
          <w:snapToGrid/>
          <w:sz w:val="22"/>
          <w:szCs w:val="22"/>
          <w:lang w:val="en-IE" w:eastAsia="fr-BE"/>
        </w:rPr>
        <w:t>Turayliç</w:t>
      </w:r>
      <w:proofErr w:type="spellEnd"/>
      <w:r w:rsidR="006C6972" w:rsidRPr="006C6972">
        <w:rPr>
          <w:rFonts w:ascii="Times New Roman" w:hAnsi="Times New Roman"/>
          <w:snapToGrid/>
          <w:sz w:val="22"/>
          <w:szCs w:val="22"/>
          <w:lang w:val="en-IE" w:eastAsia="fr-BE"/>
        </w:rPr>
        <w:t xml:space="preserve"> Caddesi No: 5 B Blok Kat: 10 06490 Emek, </w:t>
      </w:r>
      <w:r w:rsidR="005F5BBC">
        <w:rPr>
          <w:rFonts w:ascii="Times New Roman" w:hAnsi="Times New Roman"/>
          <w:snapToGrid/>
          <w:sz w:val="22"/>
          <w:szCs w:val="22"/>
          <w:lang w:val="en-IE" w:eastAsia="fr-BE"/>
        </w:rPr>
        <w:t>Ç</w:t>
      </w:r>
      <w:r w:rsidR="006C6972" w:rsidRPr="006C6972">
        <w:rPr>
          <w:rFonts w:ascii="Times New Roman" w:hAnsi="Times New Roman"/>
          <w:snapToGrid/>
          <w:sz w:val="22"/>
          <w:szCs w:val="22"/>
          <w:lang w:val="en-IE" w:eastAsia="fr-BE"/>
        </w:rPr>
        <w:t>ankaya, Ankara, Türkiye</w:t>
      </w:r>
    </w:p>
    <w:p w14:paraId="753751D2" w14:textId="30233914" w:rsidR="00C04B88" w:rsidRPr="006C6972" w:rsidRDefault="00C04B88" w:rsidP="006C6972">
      <w:pPr>
        <w:spacing w:before="0" w:after="100" w:afterAutospacing="1"/>
        <w:ind w:left="1194"/>
        <w:textAlignment w:val="baseline"/>
        <w:rPr>
          <w:rFonts w:ascii="Times New Roman" w:hAnsi="Times New Roman"/>
          <w:snapToGrid/>
          <w:sz w:val="22"/>
          <w:szCs w:val="22"/>
          <w:lang w:val="en-IE" w:eastAsia="fr-BE"/>
        </w:rPr>
      </w:pPr>
      <w:r>
        <w:rPr>
          <w:rFonts w:ascii="Times New Roman" w:hAnsi="Times New Roman"/>
          <w:snapToGrid/>
          <w:sz w:val="22"/>
          <w:szCs w:val="22"/>
          <w:lang w:val="en-IE" w:eastAsia="fr-BE"/>
        </w:rPr>
        <w:t xml:space="preserve">Telephone: </w:t>
      </w:r>
      <w:r w:rsidRPr="00743729">
        <w:rPr>
          <w:rFonts w:ascii="Times New Roman" w:hAnsi="Times New Roman"/>
          <w:sz w:val="22"/>
          <w:szCs w:val="22"/>
        </w:rPr>
        <w:t>+90 312 203 22 69</w:t>
      </w:r>
    </w:p>
    <w:p w14:paraId="77A232B6" w14:textId="3352C993" w:rsidR="003F3783" w:rsidRPr="003F3783" w:rsidRDefault="003F3783" w:rsidP="00B5440B">
      <w:pPr>
        <w:spacing w:before="0" w:after="240"/>
        <w:ind w:left="1196"/>
        <w:textAlignment w:val="baseline"/>
        <w:rPr>
          <w:rFonts w:ascii="Times New Roman" w:hAnsi="Times New Roman"/>
          <w:snapToGrid/>
          <w:sz w:val="22"/>
          <w:szCs w:val="22"/>
          <w:lang w:val="en-IE" w:eastAsia="fr-BE"/>
        </w:rPr>
      </w:pPr>
      <w:r w:rsidRPr="006C6972">
        <w:rPr>
          <w:rFonts w:ascii="Times New Roman" w:hAnsi="Times New Roman"/>
          <w:snapToGrid/>
          <w:sz w:val="22"/>
          <w:szCs w:val="22"/>
          <w:lang w:val="en-IE" w:eastAsia="fr-BE"/>
        </w:rPr>
        <w:t xml:space="preserve">Email: </w:t>
      </w:r>
      <w:hyperlink r:id="rId8" w:history="1">
        <w:r w:rsidR="006C6972" w:rsidRPr="00FD14F1">
          <w:rPr>
            <w:rStyle w:val="Hyperlink"/>
            <w:rFonts w:ascii="Times New Roman" w:hAnsi="Times New Roman"/>
            <w:snapToGrid/>
            <w:sz w:val="22"/>
            <w:szCs w:val="22"/>
            <w:lang w:val="en-IE" w:eastAsia="fr-BE"/>
          </w:rPr>
          <w:t>euid@uab.gov.tr</w:t>
        </w:r>
      </w:hyperlink>
      <w:r w:rsidR="006C6972">
        <w:rPr>
          <w:rFonts w:ascii="Times New Roman" w:hAnsi="Times New Roman"/>
          <w:snapToGrid/>
          <w:sz w:val="22"/>
          <w:szCs w:val="22"/>
          <w:lang w:val="en-IE" w:eastAsia="fr-BE"/>
        </w:rPr>
        <w:t xml:space="preserve"> </w:t>
      </w: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6C6972">
        <w:rPr>
          <w:rFonts w:ascii="Times New Roman" w:hAnsi="Times New Roman"/>
          <w:b/>
          <w:bCs/>
          <w:snapToGrid/>
          <w:sz w:val="22"/>
          <w:szCs w:val="22"/>
          <w:lang w:eastAsia="fr-BE"/>
        </w:rPr>
        <w:t>Contractor (or leader in the case of a joint tender</w:t>
      </w:r>
      <w:r w:rsidRPr="003F3783">
        <w:rPr>
          <w:rFonts w:ascii="Times New Roman" w:hAnsi="Times New Roman"/>
          <w:snapToGrid/>
          <w:sz w:val="22"/>
          <w:szCs w:val="22"/>
          <w:lang w:eastAsia="fr-BE"/>
        </w:rPr>
        <w:t>): </w:t>
      </w:r>
    </w:p>
    <w:p w14:paraId="0FE088EF" w14:textId="53B2B33A" w:rsidR="003F3783" w:rsidRPr="006C6972" w:rsidRDefault="003F3783" w:rsidP="003F3783">
      <w:pPr>
        <w:spacing w:before="0" w:after="100" w:afterAutospacing="1"/>
        <w:ind w:left="1194"/>
        <w:textAlignment w:val="baseline"/>
        <w:rPr>
          <w:rFonts w:ascii="Times New Roman" w:hAnsi="Times New Roman"/>
          <w:snapToGrid/>
          <w:sz w:val="22"/>
          <w:szCs w:val="22"/>
          <w:lang w:eastAsia="fr-BE"/>
        </w:rPr>
      </w:pPr>
      <w:r w:rsidRPr="006C6972">
        <w:rPr>
          <w:rFonts w:ascii="Times New Roman" w:hAnsi="Times New Roman"/>
          <w:snapToGrid/>
          <w:sz w:val="22"/>
          <w:szCs w:val="22"/>
          <w:shd w:val="clear" w:color="auto" w:fill="C0C0C0"/>
          <w:lang w:eastAsia="fr-BE"/>
        </w:rPr>
        <w:t>Full name</w:t>
      </w:r>
    </w:p>
    <w:p w14:paraId="33F1F764" w14:textId="0C039D85" w:rsidR="003F3783" w:rsidRPr="006C6972" w:rsidRDefault="003F3783" w:rsidP="003F3783">
      <w:pPr>
        <w:spacing w:before="0" w:after="100" w:afterAutospacing="1"/>
        <w:ind w:left="1194"/>
        <w:textAlignment w:val="baseline"/>
        <w:rPr>
          <w:rFonts w:ascii="Times New Roman" w:hAnsi="Times New Roman"/>
          <w:snapToGrid/>
          <w:sz w:val="22"/>
          <w:szCs w:val="22"/>
          <w:lang w:eastAsia="fr-BE"/>
        </w:rPr>
      </w:pPr>
      <w:r w:rsidRPr="006C6972">
        <w:rPr>
          <w:rFonts w:ascii="Times New Roman" w:hAnsi="Times New Roman"/>
          <w:snapToGrid/>
          <w:sz w:val="22"/>
          <w:szCs w:val="22"/>
          <w:shd w:val="clear" w:color="auto" w:fill="C0C0C0"/>
          <w:lang w:eastAsia="fr-BE"/>
        </w:rPr>
        <w:t>Function</w:t>
      </w:r>
    </w:p>
    <w:p w14:paraId="64AC8481" w14:textId="7A76ADF7" w:rsidR="003F3783" w:rsidRPr="006C6972" w:rsidRDefault="003F3783" w:rsidP="003F3783">
      <w:pPr>
        <w:spacing w:before="0" w:after="100" w:afterAutospacing="1"/>
        <w:ind w:left="1194"/>
        <w:textAlignment w:val="baseline"/>
        <w:rPr>
          <w:rFonts w:ascii="Times New Roman" w:hAnsi="Times New Roman"/>
          <w:snapToGrid/>
          <w:sz w:val="22"/>
          <w:szCs w:val="22"/>
          <w:lang w:eastAsia="fr-BE"/>
        </w:rPr>
      </w:pPr>
      <w:r w:rsidRPr="006C6972">
        <w:rPr>
          <w:rFonts w:ascii="Times New Roman" w:hAnsi="Times New Roman"/>
          <w:snapToGrid/>
          <w:sz w:val="22"/>
          <w:szCs w:val="22"/>
          <w:shd w:val="clear" w:color="auto" w:fill="C0C0C0"/>
          <w:lang w:eastAsia="fr-BE"/>
        </w:rPr>
        <w:t>Company name</w:t>
      </w:r>
    </w:p>
    <w:p w14:paraId="49642626" w14:textId="5BE838F9" w:rsidR="003F3783" w:rsidRPr="006C6972" w:rsidRDefault="003F3783" w:rsidP="003F3783">
      <w:pPr>
        <w:spacing w:before="0" w:after="100" w:afterAutospacing="1"/>
        <w:ind w:left="1194"/>
        <w:textAlignment w:val="baseline"/>
        <w:rPr>
          <w:rFonts w:ascii="Times New Roman" w:hAnsi="Times New Roman"/>
          <w:snapToGrid/>
          <w:sz w:val="22"/>
          <w:szCs w:val="22"/>
          <w:lang w:eastAsia="fr-BE"/>
        </w:rPr>
      </w:pPr>
      <w:r w:rsidRPr="006C6972">
        <w:rPr>
          <w:rFonts w:ascii="Times New Roman" w:hAnsi="Times New Roman"/>
          <w:snapToGrid/>
          <w:sz w:val="22"/>
          <w:szCs w:val="22"/>
          <w:shd w:val="clear" w:color="auto" w:fill="C0C0C0"/>
          <w:lang w:eastAsia="fr-BE"/>
        </w:rPr>
        <w:t>Full official address</w:t>
      </w:r>
    </w:p>
    <w:p w14:paraId="22185F1E" w14:textId="07D594F3"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6C6972">
        <w:rPr>
          <w:rFonts w:ascii="Times New Roman" w:hAnsi="Times New Roman"/>
          <w:snapToGrid/>
          <w:sz w:val="22"/>
          <w:szCs w:val="22"/>
          <w:lang w:eastAsia="fr-BE"/>
        </w:rPr>
        <w:t>Email: </w:t>
      </w:r>
      <w:r w:rsidRPr="006C6972">
        <w:rPr>
          <w:rFonts w:ascii="Times New Roman" w:hAnsi="Times New Roman"/>
          <w:snapToGrid/>
          <w:sz w:val="22"/>
          <w:szCs w:val="22"/>
          <w:shd w:val="clear" w:color="auto" w:fill="C0C0C0"/>
          <w:lang w:eastAsia="fr-BE"/>
        </w:rPr>
        <w:t>complete</w:t>
      </w:r>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7" w:name="_Toc124934898"/>
      <w:bookmarkEnd w:id="6"/>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09203E64" w14:textId="103B5A46" w:rsidR="0047783A" w:rsidRPr="003D6B6C" w:rsidRDefault="00E83663" w:rsidP="00B34179">
      <w:pPr>
        <w:jc w:val="both"/>
        <w:rPr>
          <w:rFonts w:ascii="Times New Roman" w:hAnsi="Times New Roman"/>
          <w:b/>
          <w:sz w:val="22"/>
          <w:szCs w:val="22"/>
        </w:rPr>
      </w:pPr>
      <w:r w:rsidRPr="002C04C8">
        <w:rPr>
          <w:rFonts w:ascii="Times New Roman" w:hAnsi="Times New Roman"/>
          <w:sz w:val="22"/>
          <w:szCs w:val="22"/>
        </w:rPr>
        <w:t>Documents to be provided by the Contractor are defined in the Technical Specifications. The Contracting Authority shall provide approval of the documents.</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70EC91E9" w14:textId="77777777" w:rsidR="00E83663" w:rsidRPr="003D6B6C" w:rsidRDefault="00E83663" w:rsidP="00E83663">
      <w:pPr>
        <w:jc w:val="both"/>
        <w:rPr>
          <w:rFonts w:ascii="Times New Roman" w:hAnsi="Times New Roman"/>
          <w:sz w:val="22"/>
          <w:szCs w:val="22"/>
        </w:rPr>
      </w:pPr>
      <w:r w:rsidRPr="002C04C8">
        <w:rPr>
          <w:rFonts w:ascii="Times New Roman" w:hAnsi="Times New Roman"/>
          <w:sz w:val="22"/>
          <w:szCs w:val="22"/>
        </w:rPr>
        <w:t>Within one month of the commencement of the Contract, the Contractor shall contact the Contracting Authority in order to receive information about the Customs procedures, Tax exemption procedures, stamp or registration duties or any other charge having equivalent effect.</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1661279B" w14:textId="6017F6D5" w:rsidR="00E83663" w:rsidRDefault="00E0396B" w:rsidP="00E83663">
      <w:pPr>
        <w:tabs>
          <w:tab w:val="left" w:pos="426"/>
        </w:tabs>
        <w:ind w:left="1134" w:right="-2" w:hanging="708"/>
        <w:jc w:val="both"/>
        <w:rPr>
          <w:rFonts w:ascii="Times New Roman" w:hAnsi="Times New Roman"/>
          <w:snapToGrid/>
          <w:sz w:val="22"/>
          <w:szCs w:val="22"/>
        </w:rPr>
      </w:pPr>
      <w:r w:rsidRPr="003D6B6C">
        <w:rPr>
          <w:rFonts w:ascii="Times New Roman" w:hAnsi="Times New Roman"/>
          <w:sz w:val="22"/>
          <w:szCs w:val="22"/>
        </w:rPr>
        <w:t>9.9</w:t>
      </w:r>
      <w:r w:rsidRPr="003D6B6C">
        <w:rPr>
          <w:rFonts w:ascii="Times New Roman" w:hAnsi="Times New Roman"/>
          <w:sz w:val="22"/>
          <w:szCs w:val="22"/>
        </w:rPr>
        <w:tab/>
      </w:r>
      <w:r w:rsidR="00E83663">
        <w:rPr>
          <w:rFonts w:ascii="Times New Roman" w:hAnsi="Times New Roman"/>
          <w:sz w:val="22"/>
          <w:szCs w:val="22"/>
        </w:rPr>
        <w:t xml:space="preserve">The Contractor must take the necessary measures to ensure the visibility and communication of the EU financed project and the impact, and in addition, the financial cooperation between Türkiye and the EU. Such measures must be in accordance with the applicable rules on the visibility of external action laid down and published by the Commission in 2022. These rules are set out in the Communication and Visibility Manual for External Actions available from the EuropeAid website at </w:t>
      </w:r>
      <w:hyperlink r:id="rId9" w:history="1">
        <w:r w:rsidR="00E83663">
          <w:rPr>
            <w:rStyle w:val="Hyperlink"/>
            <w:rFonts w:ascii="Times New Roman" w:hAnsi="Times New Roman"/>
            <w:sz w:val="22"/>
            <w:szCs w:val="22"/>
          </w:rPr>
          <w:t>https://international-partnerships.ec.europa.eu/knowledge-hub/communicating-and-raising-eu-visibility-guidance-external-actions_en</w:t>
        </w:r>
      </w:hyperlink>
    </w:p>
    <w:p w14:paraId="28391677" w14:textId="77777777" w:rsidR="00E83663" w:rsidRDefault="00E83663" w:rsidP="00E83663">
      <w:pPr>
        <w:tabs>
          <w:tab w:val="left" w:pos="426"/>
        </w:tabs>
        <w:ind w:left="1134" w:right="-2"/>
        <w:jc w:val="both"/>
      </w:pPr>
      <w:r>
        <w:rPr>
          <w:rFonts w:ascii="Times New Roman" w:hAnsi="Times New Roman"/>
          <w:sz w:val="22"/>
          <w:szCs w:val="22"/>
        </w:rPr>
        <w:t xml:space="preserve">The contractor must also follow the visibility rules set out in the visibility guideline of the Delegation of the European Union to Türkiye which is available at </w:t>
      </w:r>
      <w:hyperlink r:id="rId10" w:history="1">
        <w:r>
          <w:rPr>
            <w:rStyle w:val="Hyperlink"/>
            <w:rFonts w:ascii="Times New Roman" w:hAnsi="Times New Roman"/>
            <w:sz w:val="22"/>
          </w:rPr>
          <w:t>https://www.eeas.europa.eu/delegations/t%C3%BCrkiye/visibility-guidelines-clarification-2022-guidelines-communicating-and-raising-eu-visibility_en</w:t>
        </w:r>
      </w:hyperlink>
      <w:r>
        <w:rPr>
          <w:rFonts w:ascii="Times New Roman" w:hAnsi="Times New Roman"/>
          <w:sz w:val="22"/>
        </w:rPr>
        <w:t xml:space="preserve"> </w:t>
      </w:r>
    </w:p>
    <w:p w14:paraId="311F8CB4" w14:textId="77777777" w:rsidR="00E83663" w:rsidRDefault="00E83663" w:rsidP="00E83663">
      <w:pPr>
        <w:tabs>
          <w:tab w:val="left" w:pos="426"/>
        </w:tabs>
        <w:ind w:left="1134" w:right="-285"/>
        <w:jc w:val="both"/>
        <w:rPr>
          <w:rFonts w:ascii="Times New Roman" w:hAnsi="Times New Roman"/>
          <w:sz w:val="22"/>
          <w:szCs w:val="22"/>
        </w:rPr>
      </w:pPr>
      <w:r>
        <w:rPr>
          <w:rFonts w:ascii="Times New Roman" w:hAnsi="Times New Roman"/>
          <w:sz w:val="22"/>
          <w:szCs w:val="22"/>
        </w:rPr>
        <w:t xml:space="preserve">The content of the label shall minimum comprise the following items as below:  </w:t>
      </w:r>
    </w:p>
    <w:p w14:paraId="22659515" w14:textId="3E9EFC4D" w:rsidR="00E83663" w:rsidRDefault="0032422A" w:rsidP="00E83663">
      <w:pPr>
        <w:keepNext/>
        <w:widowControl w:val="0"/>
        <w:spacing w:before="0" w:after="0"/>
        <w:jc w:val="center"/>
        <w:rPr>
          <w:rFonts w:ascii="Times New Roman" w:hAnsi="Times New Roman"/>
          <w:sz w:val="24"/>
        </w:rPr>
      </w:pPr>
      <w:r>
        <w:rPr>
          <w:noProof/>
        </w:rPr>
        <w:lastRenderedPageBreak/>
        <w:drawing>
          <wp:anchor distT="0" distB="0" distL="114300" distR="114300" simplePos="0" relativeHeight="251656704" behindDoc="0" locked="0" layoutInCell="1" allowOverlap="1" wp14:anchorId="1F0414E2" wp14:editId="54A45007">
            <wp:simplePos x="0" y="0"/>
            <wp:positionH relativeFrom="column">
              <wp:posOffset>1326515</wp:posOffset>
            </wp:positionH>
            <wp:positionV relativeFrom="paragraph">
              <wp:posOffset>27940</wp:posOffset>
            </wp:positionV>
            <wp:extent cx="2567305" cy="1057275"/>
            <wp:effectExtent l="0" t="0" r="0" b="0"/>
            <wp:wrapTopAndBottom/>
            <wp:docPr id="3"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7305" cy="1057275"/>
                    </a:xfrm>
                    <a:prstGeom prst="rect">
                      <a:avLst/>
                    </a:prstGeom>
                    <a:noFill/>
                  </pic:spPr>
                </pic:pic>
              </a:graphicData>
            </a:graphic>
            <wp14:sizeRelH relativeFrom="page">
              <wp14:pctWidth>0</wp14:pctWidth>
            </wp14:sizeRelH>
            <wp14:sizeRelV relativeFrom="page">
              <wp14:pctHeight>0</wp14:pctHeight>
            </wp14:sizeRelV>
          </wp:anchor>
        </w:drawing>
      </w:r>
    </w:p>
    <w:p w14:paraId="2E15093E" w14:textId="103D8AF2" w:rsidR="00E83663" w:rsidRDefault="0032422A" w:rsidP="00E83663">
      <w:pPr>
        <w:keepNext/>
        <w:widowControl w:val="0"/>
        <w:spacing w:before="40" w:after="40"/>
        <w:jc w:val="center"/>
        <w:rPr>
          <w:rFonts w:ascii="Times New Roman" w:hAnsi="Times New Roman"/>
          <w:sz w:val="24"/>
        </w:rPr>
      </w:pPr>
      <w:r>
        <w:rPr>
          <w:noProof/>
        </w:rPr>
        <mc:AlternateContent>
          <mc:Choice Requires="wps">
            <w:drawing>
              <wp:anchor distT="45720" distB="45720" distL="114300" distR="114300" simplePos="0" relativeHeight="251657728" behindDoc="0" locked="0" layoutInCell="1" allowOverlap="1" wp14:anchorId="2422E716" wp14:editId="49530041">
                <wp:simplePos x="0" y="0"/>
                <wp:positionH relativeFrom="column">
                  <wp:posOffset>1206500</wp:posOffset>
                </wp:positionH>
                <wp:positionV relativeFrom="paragraph">
                  <wp:posOffset>93980</wp:posOffset>
                </wp:positionV>
                <wp:extent cx="2686050" cy="323850"/>
                <wp:effectExtent l="0" t="0" r="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323850"/>
                        </a:xfrm>
                        <a:prstGeom prst="rect">
                          <a:avLst/>
                        </a:prstGeom>
                        <a:solidFill>
                          <a:srgbClr val="FFFFFF"/>
                        </a:solidFill>
                        <a:ln w="9525">
                          <a:noFill/>
                          <a:miter lim="800000"/>
                          <a:headEnd/>
                          <a:tailEnd/>
                        </a:ln>
                      </wps:spPr>
                      <wps:txbx>
                        <w:txbxContent>
                          <w:p w14:paraId="60199AA2" w14:textId="77777777" w:rsidR="00E83663" w:rsidRDefault="00E83663" w:rsidP="00E83663">
                            <w:pPr>
                              <w:spacing w:before="0" w:after="0"/>
                              <w:jc w:val="center"/>
                              <w:rPr>
                                <w:rFonts w:ascii="Times New Roman" w:hAnsi="Times New Roman"/>
                                <w:sz w:val="16"/>
                              </w:rPr>
                            </w:pPr>
                            <w:r>
                              <w:rPr>
                                <w:rFonts w:ascii="Times New Roman" w:hAnsi="Times New Roman"/>
                                <w:sz w:val="16"/>
                              </w:rPr>
                              <w:t>Co-funded by the European Union</w:t>
                            </w:r>
                          </w:p>
                          <w:p w14:paraId="514E26D8" w14:textId="77777777" w:rsidR="00E83663" w:rsidRDefault="00E83663" w:rsidP="00E83663">
                            <w:pPr>
                              <w:spacing w:before="0" w:after="0"/>
                              <w:jc w:val="center"/>
                              <w:rPr>
                                <w:rFonts w:ascii="Times New Roman" w:hAnsi="Times New Roman"/>
                                <w:sz w:val="16"/>
                              </w:rPr>
                            </w:pPr>
                            <w:r>
                              <w:rPr>
                                <w:rFonts w:ascii="Times New Roman" w:hAnsi="Times New Roman"/>
                                <w:sz w:val="16"/>
                                <w:lang w:val="tr-TR"/>
                              </w:rPr>
                              <w:t>Avrupa Birliği tarafından eş-finanse edilmektedir</w:t>
                            </w:r>
                            <w:r>
                              <w:rPr>
                                <w:rFonts w:ascii="Times New Roman" w:hAnsi="Times New Roman"/>
                                <w:sz w:val="16"/>
                              </w:rPr>
                              <w:t>.</w:t>
                            </w:r>
                          </w:p>
                          <w:p w14:paraId="3E351F2F" w14:textId="77777777" w:rsidR="00E83663" w:rsidRDefault="00E83663" w:rsidP="00E8366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22E716" id="_x0000_t202" coordsize="21600,21600" o:spt="202" path="m,l,21600r21600,l21600,xe">
                <v:stroke joinstyle="miter"/>
                <v:path gradientshapeok="t" o:connecttype="rect"/>
              </v:shapetype>
              <v:shape id="Metin Kutusu 217" o:spid="_x0000_s1026" type="#_x0000_t202" style="position:absolute;left:0;text-align:left;margin-left:95pt;margin-top:7.4pt;width:211.5pt;height:2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" stroked="f">
                <v:textbox>
                  <w:txbxContent>
                    <w:p w14:paraId="60199AA2" w14:textId="77777777" w:rsidR="00E83663" w:rsidRDefault="00E83663" w:rsidP="00E83663">
                      <w:pPr>
                        <w:spacing w:before="0" w:after="0"/>
                        <w:jc w:val="center"/>
                        <w:rPr>
                          <w:rFonts w:ascii="Times New Roman" w:hAnsi="Times New Roman"/>
                          <w:sz w:val="16"/>
                        </w:rPr>
                      </w:pPr>
                      <w:r>
                        <w:rPr>
                          <w:rFonts w:ascii="Times New Roman" w:hAnsi="Times New Roman"/>
                          <w:sz w:val="16"/>
                        </w:rPr>
                        <w:t>Co-funded by the European Union</w:t>
                      </w:r>
                    </w:p>
                    <w:p w14:paraId="514E26D8" w14:textId="77777777" w:rsidR="00E83663" w:rsidRDefault="00E83663" w:rsidP="00E83663">
                      <w:pPr>
                        <w:spacing w:before="0" w:after="0"/>
                        <w:jc w:val="center"/>
                        <w:rPr>
                          <w:rFonts w:ascii="Times New Roman" w:hAnsi="Times New Roman"/>
                          <w:sz w:val="16"/>
                        </w:rPr>
                      </w:pPr>
                      <w:r>
                        <w:rPr>
                          <w:rFonts w:ascii="Times New Roman" w:hAnsi="Times New Roman"/>
                          <w:sz w:val="16"/>
                          <w:lang w:val="tr-TR"/>
                        </w:rPr>
                        <w:t>Avrupa Birliği tarafından eş-finanse edilmektedir</w:t>
                      </w:r>
                      <w:r>
                        <w:rPr>
                          <w:rFonts w:ascii="Times New Roman" w:hAnsi="Times New Roman"/>
                          <w:sz w:val="16"/>
                        </w:rPr>
                        <w:t>.</w:t>
                      </w:r>
                    </w:p>
                    <w:p w14:paraId="3E351F2F" w14:textId="77777777" w:rsidR="00E83663" w:rsidRDefault="00E83663" w:rsidP="00E83663">
                      <w:pPr>
                        <w:jc w:val="center"/>
                      </w:pPr>
                    </w:p>
                  </w:txbxContent>
                </v:textbox>
                <w10:wrap type="square"/>
              </v:shape>
            </w:pict>
          </mc:Fallback>
        </mc:AlternateContent>
      </w:r>
    </w:p>
    <w:p w14:paraId="7810555A" w14:textId="77777777" w:rsidR="00E83663" w:rsidRDefault="00E83663" w:rsidP="00E83663">
      <w:pPr>
        <w:tabs>
          <w:tab w:val="left" w:pos="426"/>
        </w:tabs>
        <w:spacing w:before="0" w:after="0"/>
        <w:jc w:val="center"/>
        <w:rPr>
          <w:rFonts w:ascii="Times New Roman" w:hAnsi="Times New Roman"/>
          <w:sz w:val="22"/>
          <w:szCs w:val="22"/>
        </w:rPr>
      </w:pPr>
    </w:p>
    <w:p w14:paraId="25A768FD" w14:textId="77777777" w:rsidR="00E83663" w:rsidRDefault="00E83663" w:rsidP="00E83663">
      <w:pPr>
        <w:tabs>
          <w:tab w:val="left" w:pos="426"/>
        </w:tabs>
        <w:spacing w:before="0" w:after="0"/>
        <w:jc w:val="center"/>
        <w:rPr>
          <w:rFonts w:ascii="Times New Roman" w:hAnsi="Times New Roman"/>
          <w:sz w:val="22"/>
          <w:szCs w:val="22"/>
        </w:rPr>
      </w:pPr>
    </w:p>
    <w:p w14:paraId="22737F2A" w14:textId="77777777" w:rsidR="00E83663" w:rsidRDefault="00E83663" w:rsidP="00E83663">
      <w:pPr>
        <w:tabs>
          <w:tab w:val="left" w:pos="426"/>
        </w:tabs>
        <w:spacing w:before="0" w:after="0"/>
        <w:jc w:val="center"/>
        <w:rPr>
          <w:rFonts w:ascii="Times New Roman" w:hAnsi="Times New Roman"/>
          <w:sz w:val="22"/>
          <w:szCs w:val="22"/>
        </w:rPr>
      </w:pPr>
      <w:r>
        <w:rPr>
          <w:rFonts w:ascii="Times New Roman" w:hAnsi="Times New Roman"/>
          <w:sz w:val="22"/>
          <w:szCs w:val="22"/>
        </w:rPr>
        <w:t>Instrument for Pre-Accession Assistance (IPA II)</w:t>
      </w:r>
    </w:p>
    <w:p w14:paraId="43E22C26" w14:textId="77777777" w:rsidR="00E83663" w:rsidRDefault="00E83663" w:rsidP="00E83663">
      <w:pPr>
        <w:spacing w:before="0" w:after="60"/>
        <w:jc w:val="center"/>
        <w:rPr>
          <w:rFonts w:ascii="Times New Roman" w:hAnsi="Times New Roman"/>
          <w:sz w:val="22"/>
          <w:szCs w:val="22"/>
        </w:rPr>
      </w:pPr>
      <w:r>
        <w:rPr>
          <w:rFonts w:ascii="Times New Roman" w:hAnsi="Times New Roman"/>
          <w:sz w:val="22"/>
          <w:szCs w:val="22"/>
        </w:rPr>
        <w:t>Sectoral Operational Programme for Transport (SOPT)</w:t>
      </w:r>
    </w:p>
    <w:p w14:paraId="1E377F8A" w14:textId="2CD0ADE9" w:rsidR="00771A32" w:rsidRPr="003365C1" w:rsidRDefault="00771A32" w:rsidP="00771A32">
      <w:pPr>
        <w:spacing w:before="0" w:after="60"/>
        <w:jc w:val="center"/>
        <w:rPr>
          <w:rStyle w:val="Strong"/>
          <w:rFonts w:ascii="Times New Roman" w:hAnsi="Times New Roman"/>
          <w:b w:val="0"/>
          <w:bCs/>
          <w:sz w:val="22"/>
          <w:szCs w:val="22"/>
        </w:rPr>
      </w:pPr>
      <w:bookmarkStart w:id="9" w:name="_Hlk204605707"/>
      <w:r w:rsidRPr="003365C1">
        <w:rPr>
          <w:rStyle w:val="Strong"/>
          <w:rFonts w:ascii="Times New Roman" w:hAnsi="Times New Roman"/>
          <w:b w:val="0"/>
          <w:bCs/>
          <w:sz w:val="22"/>
          <w:szCs w:val="22"/>
        </w:rPr>
        <w:t>Post-Earthquake Transport Recovery Action</w:t>
      </w:r>
    </w:p>
    <w:p w14:paraId="185014F1" w14:textId="486CF64E" w:rsidR="003365C1" w:rsidRDefault="00771A32" w:rsidP="00836C22">
      <w:pPr>
        <w:spacing w:before="0" w:after="60"/>
        <w:jc w:val="center"/>
        <w:rPr>
          <w:rStyle w:val="Strong"/>
          <w:rFonts w:ascii="Times New Roman" w:hAnsi="Times New Roman"/>
          <w:sz w:val="22"/>
          <w:szCs w:val="22"/>
        </w:rPr>
      </w:pPr>
      <w:r w:rsidRPr="003365C1">
        <w:rPr>
          <w:rStyle w:val="Strong"/>
          <w:rFonts w:ascii="Times New Roman" w:hAnsi="Times New Roman"/>
          <w:b w:val="0"/>
          <w:bCs/>
          <w:sz w:val="22"/>
          <w:szCs w:val="22"/>
        </w:rPr>
        <w:t xml:space="preserve">(PETRA) in </w:t>
      </w:r>
      <w:proofErr w:type="spellStart"/>
      <w:r w:rsidRPr="003365C1">
        <w:rPr>
          <w:rStyle w:val="Strong"/>
          <w:rFonts w:ascii="Times New Roman" w:hAnsi="Times New Roman"/>
          <w:b w:val="0"/>
          <w:bCs/>
          <w:sz w:val="22"/>
          <w:szCs w:val="22"/>
        </w:rPr>
        <w:t>Kahramanmara</w:t>
      </w:r>
      <w:r w:rsidR="00C86004">
        <w:rPr>
          <w:rStyle w:val="Strong"/>
          <w:rFonts w:ascii="Times New Roman" w:hAnsi="Times New Roman"/>
          <w:b w:val="0"/>
          <w:bCs/>
          <w:sz w:val="22"/>
          <w:szCs w:val="22"/>
        </w:rPr>
        <w:t>ş</w:t>
      </w:r>
      <w:proofErr w:type="spellEnd"/>
      <w:r w:rsidRPr="003365C1">
        <w:rPr>
          <w:rStyle w:val="Strong"/>
          <w:rFonts w:ascii="Times New Roman" w:hAnsi="Times New Roman"/>
          <w:b w:val="0"/>
          <w:bCs/>
          <w:sz w:val="22"/>
          <w:szCs w:val="22"/>
        </w:rPr>
        <w:t xml:space="preserve"> </w:t>
      </w:r>
      <w:r w:rsidR="003365C1">
        <w:rPr>
          <w:rStyle w:val="Strong"/>
          <w:rFonts w:ascii="Times New Roman" w:hAnsi="Times New Roman"/>
          <w:b w:val="0"/>
          <w:bCs/>
          <w:sz w:val="22"/>
          <w:szCs w:val="22"/>
        </w:rPr>
        <w:t xml:space="preserve">– Lot 2 </w:t>
      </w:r>
      <w:r w:rsidRPr="003365C1">
        <w:rPr>
          <w:rStyle w:val="Strong"/>
          <w:rFonts w:ascii="Times New Roman" w:hAnsi="Times New Roman"/>
          <w:b w:val="0"/>
          <w:bCs/>
          <w:sz w:val="22"/>
          <w:szCs w:val="22"/>
        </w:rPr>
        <w:t>(TR14SPL305)</w:t>
      </w:r>
      <w:r>
        <w:rPr>
          <w:rStyle w:val="Strong"/>
          <w:rFonts w:ascii="Times New Roman" w:hAnsi="Times New Roman"/>
          <w:sz w:val="22"/>
          <w:szCs w:val="22"/>
        </w:rPr>
        <w:t xml:space="preserve"> </w:t>
      </w:r>
    </w:p>
    <w:bookmarkEnd w:id="9"/>
    <w:p w14:paraId="5D57512D" w14:textId="2B393066" w:rsidR="008753AD" w:rsidRDefault="00A91C81" w:rsidP="00836C22">
      <w:pPr>
        <w:spacing w:before="0" w:after="60"/>
        <w:jc w:val="center"/>
        <w:rPr>
          <w:rFonts w:ascii="Times New Roman" w:hAnsi="Times New Roman"/>
          <w:sz w:val="22"/>
          <w:szCs w:val="22"/>
        </w:rPr>
      </w:pPr>
      <w:r w:rsidRPr="00A91C81">
        <w:rPr>
          <w:rFonts w:ascii="Times New Roman" w:hAnsi="Times New Roman"/>
          <w:sz w:val="22"/>
        </w:rPr>
        <w:t>EC-ENEST/ANK/2025/EA-LOP/0176</w:t>
      </w:r>
      <w:r w:rsidR="008753AD" w:rsidRPr="00771A32" w:rsidDel="008753AD">
        <w:rPr>
          <w:rFonts w:ascii="Times New Roman" w:hAnsi="Times New Roman"/>
          <w:sz w:val="22"/>
          <w:szCs w:val="22"/>
        </w:rPr>
        <w:t xml:space="preserve"> </w:t>
      </w:r>
    </w:p>
    <w:p w14:paraId="4CC85449" w14:textId="61D07D70" w:rsidR="00E83663" w:rsidRDefault="00E83663" w:rsidP="00836C22">
      <w:pPr>
        <w:spacing w:before="0" w:after="60"/>
        <w:jc w:val="center"/>
      </w:pPr>
      <w:r>
        <w:rPr>
          <w:rFonts w:ascii="Times New Roman" w:hAnsi="Times New Roman"/>
          <w:sz w:val="22"/>
          <w:szCs w:val="22"/>
        </w:rPr>
        <w:t>Item No:</w:t>
      </w:r>
      <w:r>
        <w:rPr>
          <w:rFonts w:ascii="Times New Roman" w:hAnsi="Times New Roman"/>
          <w:sz w:val="22"/>
          <w:szCs w:val="22"/>
        </w:rPr>
        <w:br/>
        <w:t>Serial No:</w:t>
      </w:r>
    </w:p>
    <w:p w14:paraId="3C565075" w14:textId="77777777" w:rsidR="00E83663" w:rsidRDefault="00E83663" w:rsidP="00E83663">
      <w:pPr>
        <w:spacing w:before="0" w:after="60"/>
        <w:jc w:val="center"/>
        <w:rPr>
          <w:rFonts w:ascii="Times New Roman" w:hAnsi="Times New Roman"/>
          <w:sz w:val="22"/>
          <w:szCs w:val="22"/>
          <w:lang w:val="tr-TR"/>
        </w:rPr>
      </w:pPr>
      <w:r>
        <w:rPr>
          <w:rFonts w:ascii="Times New Roman" w:hAnsi="Times New Roman"/>
          <w:sz w:val="22"/>
          <w:szCs w:val="22"/>
          <w:lang w:val="tr-TR"/>
        </w:rPr>
        <w:t>Avrupa Birliği Katkısı (%85) ve Ulusal Katkı (%15) ile alınmıştır</w:t>
      </w:r>
    </w:p>
    <w:p w14:paraId="56596D79" w14:textId="77777777" w:rsidR="00E83663" w:rsidRPr="003D6B6C" w:rsidRDefault="00E83663" w:rsidP="00E83663">
      <w:pPr>
        <w:tabs>
          <w:tab w:val="left" w:pos="426"/>
        </w:tabs>
        <w:ind w:left="993" w:right="-2" w:hanging="709"/>
        <w:jc w:val="center"/>
        <w:rPr>
          <w:rFonts w:ascii="Times New Roman" w:hAnsi="Times New Roman"/>
          <w:sz w:val="22"/>
          <w:szCs w:val="22"/>
        </w:rPr>
      </w:pPr>
      <w:r>
        <w:rPr>
          <w:rFonts w:ascii="Times New Roman" w:hAnsi="Times New Roman"/>
          <w:sz w:val="22"/>
          <w:szCs w:val="22"/>
          <w:lang w:val="en-US"/>
        </w:rPr>
        <w:t xml:space="preserve">Purchased by the EU Contribution </w:t>
      </w:r>
      <w:r>
        <w:rPr>
          <w:rFonts w:ascii="Times New Roman" w:hAnsi="Times New Roman"/>
          <w:sz w:val="22"/>
          <w:szCs w:val="22"/>
          <w:lang w:val="tr-TR"/>
        </w:rPr>
        <w:t xml:space="preserve">(85%) </w:t>
      </w:r>
      <w:r>
        <w:rPr>
          <w:rFonts w:ascii="Times New Roman" w:hAnsi="Times New Roman"/>
          <w:sz w:val="22"/>
          <w:szCs w:val="22"/>
          <w:lang w:val="en-US"/>
        </w:rPr>
        <w:t xml:space="preserve">and National Contribution </w:t>
      </w:r>
      <w:r>
        <w:rPr>
          <w:rFonts w:ascii="Times New Roman" w:hAnsi="Times New Roman"/>
          <w:sz w:val="22"/>
          <w:szCs w:val="22"/>
          <w:lang w:val="tr-TR"/>
        </w:rPr>
        <w:t>(15%)</w:t>
      </w:r>
    </w:p>
    <w:p w14:paraId="7B0EBBEA" w14:textId="50F820A6" w:rsidR="0047783A" w:rsidRPr="003D6B6C" w:rsidRDefault="0047783A" w:rsidP="001B55AC">
      <w:pPr>
        <w:keepNext/>
        <w:spacing w:before="240"/>
        <w:ind w:left="1134" w:hanging="1134"/>
        <w:jc w:val="both"/>
        <w:rPr>
          <w:rFonts w:ascii="Times New Roman" w:hAnsi="Times New Roman"/>
          <w:b/>
          <w:sz w:val="24"/>
          <w:szCs w:val="24"/>
        </w:rPr>
      </w:pPr>
      <w:bookmarkStart w:id="10" w:name="_Toc124934900"/>
      <w:r w:rsidRPr="003D6B6C">
        <w:rPr>
          <w:rFonts w:ascii="Times New Roman" w:hAnsi="Times New Roman"/>
          <w:b/>
          <w:sz w:val="24"/>
          <w:szCs w:val="24"/>
        </w:rPr>
        <w:t>Article 10</w:t>
      </w:r>
      <w:r w:rsidRPr="003D6B6C">
        <w:rPr>
          <w:rFonts w:ascii="Times New Roman" w:hAnsi="Times New Roman"/>
          <w:b/>
          <w:sz w:val="24"/>
          <w:szCs w:val="24"/>
        </w:rPr>
        <w:tab/>
      </w:r>
      <w:r w:rsidR="00FC77A9">
        <w:rPr>
          <w:rFonts w:ascii="Times New Roman" w:hAnsi="Times New Roman"/>
          <w:b/>
          <w:sz w:val="24"/>
          <w:szCs w:val="24"/>
        </w:rPr>
        <w:t xml:space="preserve">   </w:t>
      </w:r>
      <w:r w:rsidRPr="003D6B6C">
        <w:rPr>
          <w:rFonts w:ascii="Times New Roman" w:hAnsi="Times New Roman"/>
          <w:b/>
          <w:sz w:val="24"/>
          <w:szCs w:val="24"/>
        </w:rPr>
        <w:t>Origin</w:t>
      </w:r>
      <w:bookmarkEnd w:id="10"/>
    </w:p>
    <w:p w14:paraId="66F139E5" w14:textId="0E96E181" w:rsidR="00836C22" w:rsidRDefault="0047783A" w:rsidP="00836C22">
      <w:pPr>
        <w:ind w:left="1134" w:hanging="709"/>
        <w:jc w:val="both"/>
        <w:rPr>
          <w:rFonts w:ascii="Times New Roman" w:hAnsi="Times New Roman"/>
          <w:sz w:val="22"/>
          <w:szCs w:val="22"/>
          <w:lang w:val="en-IE"/>
        </w:rPr>
      </w:pPr>
      <w:r w:rsidRPr="00836C22">
        <w:rPr>
          <w:rFonts w:ascii="Times New Roman" w:hAnsi="Times New Roman"/>
          <w:sz w:val="22"/>
          <w:szCs w:val="22"/>
        </w:rPr>
        <w:t>10.1</w:t>
      </w:r>
      <w:r w:rsidRPr="003D6B6C">
        <w:rPr>
          <w:sz w:val="22"/>
          <w:szCs w:val="22"/>
        </w:rPr>
        <w:tab/>
      </w:r>
      <w:r w:rsidR="00DC3D24" w:rsidRPr="0075617B">
        <w:rPr>
          <w:rFonts w:ascii="Times New Roman" w:hAnsi="Times New Roman"/>
          <w:sz w:val="22"/>
          <w:szCs w:val="22"/>
          <w:lang w:val="en-IE"/>
        </w:rPr>
        <w:t xml:space="preserve">All goods purchased must originate in an eligible source country as defined in </w:t>
      </w:r>
      <w:r w:rsidR="00DC3D24" w:rsidRPr="00037F09">
        <w:rPr>
          <w:rFonts w:ascii="Times New Roman" w:hAnsi="Times New Roman"/>
          <w:sz w:val="22"/>
          <w:szCs w:val="22"/>
          <w:lang w:val="en-IE"/>
        </w:rPr>
        <w:t xml:space="preserve">Regulation (EU) No 236/2014 </w:t>
      </w:r>
      <w:r w:rsidR="00DC3D24">
        <w:rPr>
          <w:rFonts w:ascii="Times New Roman" w:hAnsi="Times New Roman"/>
          <w:sz w:val="22"/>
          <w:szCs w:val="22"/>
          <w:lang w:val="en-IE"/>
        </w:rPr>
        <w:t>o</w:t>
      </w:r>
      <w:r w:rsidR="00DC3D24" w:rsidRPr="00037F09">
        <w:rPr>
          <w:rFonts w:ascii="Times New Roman" w:hAnsi="Times New Roman"/>
          <w:sz w:val="22"/>
          <w:szCs w:val="22"/>
          <w:lang w:val="en-IE"/>
        </w:rPr>
        <w:t xml:space="preserve">f </w:t>
      </w:r>
      <w:r w:rsidR="00DC3D24">
        <w:rPr>
          <w:rFonts w:ascii="Times New Roman" w:hAnsi="Times New Roman"/>
          <w:sz w:val="22"/>
          <w:szCs w:val="22"/>
          <w:lang w:val="en-IE"/>
        </w:rPr>
        <w:t>t</w:t>
      </w:r>
      <w:r w:rsidR="00DC3D24" w:rsidRPr="00037F09">
        <w:rPr>
          <w:rFonts w:ascii="Times New Roman" w:hAnsi="Times New Roman"/>
          <w:sz w:val="22"/>
          <w:szCs w:val="22"/>
          <w:lang w:val="en-IE"/>
        </w:rPr>
        <w:t xml:space="preserve">he European Parliament </w:t>
      </w:r>
      <w:r w:rsidR="00DC3D24">
        <w:rPr>
          <w:rFonts w:ascii="Times New Roman" w:hAnsi="Times New Roman"/>
          <w:sz w:val="22"/>
          <w:szCs w:val="22"/>
          <w:lang w:val="en-IE"/>
        </w:rPr>
        <w:t>a</w:t>
      </w:r>
      <w:r w:rsidR="00DC3D24" w:rsidRPr="00037F09">
        <w:rPr>
          <w:rFonts w:ascii="Times New Roman" w:hAnsi="Times New Roman"/>
          <w:sz w:val="22"/>
          <w:szCs w:val="22"/>
          <w:lang w:val="en-IE"/>
        </w:rPr>
        <w:t xml:space="preserve">nd </w:t>
      </w:r>
      <w:r w:rsidR="00DC3D24">
        <w:rPr>
          <w:rFonts w:ascii="Times New Roman" w:hAnsi="Times New Roman"/>
          <w:sz w:val="22"/>
          <w:szCs w:val="22"/>
          <w:lang w:val="en-IE"/>
        </w:rPr>
        <w:t>o</w:t>
      </w:r>
      <w:r w:rsidR="00DC3D24" w:rsidRPr="00037F09">
        <w:rPr>
          <w:rFonts w:ascii="Times New Roman" w:hAnsi="Times New Roman"/>
          <w:sz w:val="22"/>
          <w:szCs w:val="22"/>
          <w:lang w:val="en-IE"/>
        </w:rPr>
        <w:t xml:space="preserve">f </w:t>
      </w:r>
      <w:r w:rsidR="00DC3D24">
        <w:rPr>
          <w:rFonts w:ascii="Times New Roman" w:hAnsi="Times New Roman"/>
          <w:sz w:val="22"/>
          <w:szCs w:val="22"/>
          <w:lang w:val="en-IE"/>
        </w:rPr>
        <w:t>t</w:t>
      </w:r>
      <w:r w:rsidR="00DC3D24" w:rsidRPr="00037F09">
        <w:rPr>
          <w:rFonts w:ascii="Times New Roman" w:hAnsi="Times New Roman"/>
          <w:sz w:val="22"/>
          <w:szCs w:val="22"/>
          <w:lang w:val="en-IE"/>
        </w:rPr>
        <w:t>he Council</w:t>
      </w:r>
      <w:r w:rsidR="00DC3D24">
        <w:rPr>
          <w:rFonts w:ascii="Times New Roman" w:hAnsi="Times New Roman"/>
          <w:sz w:val="22"/>
          <w:szCs w:val="22"/>
          <w:lang w:val="en-IE"/>
        </w:rPr>
        <w:t xml:space="preserve"> </w:t>
      </w:r>
      <w:r w:rsidR="00DC3D24" w:rsidRPr="00037F09">
        <w:rPr>
          <w:rFonts w:ascii="Times New Roman" w:hAnsi="Times New Roman"/>
          <w:sz w:val="22"/>
          <w:szCs w:val="22"/>
          <w:lang w:val="en-IE"/>
        </w:rPr>
        <w:t>of 11 March 2014</w:t>
      </w:r>
      <w:r w:rsidR="00DC3D24" w:rsidRPr="0075617B">
        <w:rPr>
          <w:rFonts w:ascii="Times New Roman" w:hAnsi="Times New Roman"/>
          <w:sz w:val="22"/>
          <w:szCs w:val="22"/>
        </w:rPr>
        <w:t xml:space="preserve">. </w:t>
      </w:r>
      <w:r w:rsidR="00DC3D24">
        <w:rPr>
          <w:rFonts w:ascii="Times New Roman" w:hAnsi="Times New Roman"/>
          <w:sz w:val="22"/>
          <w:szCs w:val="22"/>
        </w:rPr>
        <w:t xml:space="preserve"> </w:t>
      </w:r>
      <w:r w:rsidR="00836C22" w:rsidRPr="0075617B">
        <w:rPr>
          <w:rFonts w:ascii="Times New Roman" w:hAnsi="Times New Roman"/>
          <w:sz w:val="22"/>
          <w:szCs w:val="22"/>
          <w:lang w:val="en-IE"/>
        </w:rPr>
        <w:t>For these purposes, ‘origin’ means the place where the goods are mined, grown, produced or manufactured. The origin of the goods must be determined according to the EU Customs Code or to the relevant international agreement applicable.</w:t>
      </w:r>
      <w:r w:rsidR="00836C22">
        <w:rPr>
          <w:rFonts w:ascii="Times New Roman" w:hAnsi="Times New Roman"/>
          <w:sz w:val="22"/>
          <w:szCs w:val="22"/>
          <w:lang w:val="en-IE"/>
        </w:rPr>
        <w:t xml:space="preserve"> </w:t>
      </w:r>
    </w:p>
    <w:p w14:paraId="03BCB735" w14:textId="77777777" w:rsidR="0087446B" w:rsidRDefault="0087446B" w:rsidP="009565EE">
      <w:pPr>
        <w:spacing w:after="0"/>
        <w:ind w:left="981" w:firstLine="153"/>
        <w:rPr>
          <w:rFonts w:ascii="Times New Roman" w:hAnsi="Times New Roman"/>
          <w:b/>
          <w:snapToGrid/>
          <w:sz w:val="22"/>
          <w:szCs w:val="22"/>
          <w:lang w:val="sv-SE"/>
        </w:rPr>
      </w:pPr>
      <w:r>
        <w:rPr>
          <w:rFonts w:ascii="Times New Roman" w:hAnsi="Times New Roman"/>
          <w:b/>
          <w:sz w:val="22"/>
          <w:szCs w:val="22"/>
        </w:rPr>
        <w:t>Derogation from the rule of origin is granted only for:</w:t>
      </w:r>
    </w:p>
    <w:tbl>
      <w:tblPr>
        <w:tblpPr w:leftFromText="141" w:rightFromText="141" w:vertAnchor="text" w:horzAnchor="page" w:tblpX="2566" w:tblpY="3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tblGrid>
      <w:tr w:rsidR="0087446B" w14:paraId="7CA8DAB2" w14:textId="77777777" w:rsidTr="009565EE">
        <w:tc>
          <w:tcPr>
            <w:tcW w:w="1809" w:type="dxa"/>
            <w:tcBorders>
              <w:top w:val="single" w:sz="4" w:space="0" w:color="auto"/>
              <w:left w:val="single" w:sz="4" w:space="0" w:color="auto"/>
              <w:bottom w:val="single" w:sz="4" w:space="0" w:color="auto"/>
              <w:right w:val="single" w:sz="4" w:space="0" w:color="auto"/>
            </w:tcBorders>
            <w:shd w:val="clear" w:color="auto" w:fill="D9D9D9"/>
            <w:hideMark/>
          </w:tcPr>
          <w:p w14:paraId="79CD25F2" w14:textId="77777777" w:rsidR="0087446B" w:rsidRDefault="0087446B" w:rsidP="0087446B">
            <w:pPr>
              <w:spacing w:before="0" w:after="0"/>
              <w:ind w:right="179"/>
              <w:jc w:val="center"/>
              <w:rPr>
                <w:rFonts w:ascii="Times New Roman" w:eastAsia="Arial Unicode MS" w:hAnsi="Times New Roman"/>
                <w:b/>
                <w:bCs/>
                <w:sz w:val="22"/>
                <w:szCs w:val="22"/>
              </w:rPr>
            </w:pPr>
            <w:r>
              <w:rPr>
                <w:rFonts w:ascii="Times New Roman" w:eastAsia="Arial Unicode MS" w:hAnsi="Times New Roman"/>
                <w:b/>
                <w:bCs/>
                <w:sz w:val="22"/>
                <w:szCs w:val="22"/>
              </w:rPr>
              <w:t>Item</w:t>
            </w:r>
          </w:p>
        </w:tc>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4E35AFDF" w14:textId="77777777" w:rsidR="0087446B" w:rsidRDefault="0087446B" w:rsidP="0087446B">
            <w:pPr>
              <w:spacing w:before="0" w:after="0"/>
              <w:ind w:right="115"/>
              <w:jc w:val="center"/>
              <w:rPr>
                <w:rFonts w:ascii="Times New Roman" w:hAnsi="Times New Roman"/>
                <w:b/>
                <w:bCs/>
                <w:sz w:val="22"/>
                <w:szCs w:val="22"/>
              </w:rPr>
            </w:pPr>
            <w:r>
              <w:rPr>
                <w:rFonts w:ascii="Times New Roman" w:hAnsi="Times New Roman"/>
                <w:b/>
                <w:bCs/>
                <w:sz w:val="22"/>
                <w:szCs w:val="22"/>
              </w:rPr>
              <w:t>Item Name</w:t>
            </w:r>
          </w:p>
        </w:tc>
      </w:tr>
      <w:tr w:rsidR="0087446B" w14:paraId="4C1DAAA3" w14:textId="77777777" w:rsidTr="009565EE">
        <w:tc>
          <w:tcPr>
            <w:tcW w:w="1809" w:type="dxa"/>
            <w:tcBorders>
              <w:top w:val="single" w:sz="4" w:space="0" w:color="auto"/>
              <w:left w:val="single" w:sz="4" w:space="0" w:color="auto"/>
              <w:bottom w:val="single" w:sz="4" w:space="0" w:color="auto"/>
              <w:right w:val="single" w:sz="4" w:space="0" w:color="auto"/>
            </w:tcBorders>
            <w:hideMark/>
          </w:tcPr>
          <w:p w14:paraId="74DAD2F3" w14:textId="32518B90" w:rsidR="0087446B" w:rsidRDefault="006342B1" w:rsidP="0087446B">
            <w:pPr>
              <w:spacing w:before="0" w:after="0"/>
              <w:ind w:right="179"/>
              <w:jc w:val="center"/>
              <w:rPr>
                <w:rFonts w:ascii="Times New Roman" w:eastAsia="Arial Unicode MS" w:hAnsi="Times New Roman"/>
                <w:b/>
                <w:bCs/>
                <w:sz w:val="22"/>
                <w:szCs w:val="22"/>
              </w:rPr>
            </w:pPr>
            <w:r>
              <w:rPr>
                <w:rFonts w:ascii="Times New Roman" w:eastAsia="Arial Unicode MS" w:hAnsi="Times New Roman"/>
                <w:b/>
                <w:bCs/>
                <w:sz w:val="22"/>
                <w:szCs w:val="22"/>
              </w:rPr>
              <w:t>1</w:t>
            </w:r>
            <w:r w:rsidR="0087446B">
              <w:rPr>
                <w:rFonts w:ascii="Times New Roman" w:eastAsia="Arial Unicode MS" w:hAnsi="Times New Roman"/>
                <w:b/>
                <w:bCs/>
                <w:sz w:val="22"/>
                <w:szCs w:val="22"/>
              </w:rPr>
              <w:t>.2</w:t>
            </w:r>
          </w:p>
        </w:tc>
        <w:tc>
          <w:tcPr>
            <w:tcW w:w="2552" w:type="dxa"/>
            <w:tcBorders>
              <w:top w:val="single" w:sz="4" w:space="0" w:color="auto"/>
              <w:left w:val="single" w:sz="4" w:space="0" w:color="auto"/>
              <w:bottom w:val="single" w:sz="4" w:space="0" w:color="auto"/>
              <w:right w:val="single" w:sz="4" w:space="0" w:color="auto"/>
            </w:tcBorders>
            <w:hideMark/>
          </w:tcPr>
          <w:p w14:paraId="09DBB0E3" w14:textId="77777777" w:rsidR="0087446B" w:rsidRDefault="0087446B" w:rsidP="0087446B">
            <w:pPr>
              <w:spacing w:before="0" w:after="0"/>
              <w:ind w:right="115"/>
              <w:jc w:val="center"/>
              <w:rPr>
                <w:rFonts w:ascii="Times New Roman" w:hAnsi="Times New Roman"/>
                <w:bCs/>
                <w:sz w:val="22"/>
                <w:szCs w:val="22"/>
              </w:rPr>
            </w:pPr>
            <w:r>
              <w:rPr>
                <w:rFonts w:ascii="Times New Roman" w:hAnsi="Times New Roman"/>
                <w:bCs/>
                <w:sz w:val="22"/>
                <w:szCs w:val="22"/>
              </w:rPr>
              <w:t>Bicycle battery</w:t>
            </w:r>
          </w:p>
        </w:tc>
      </w:tr>
      <w:tr w:rsidR="0087446B" w14:paraId="2C54129C" w14:textId="77777777" w:rsidTr="009565EE">
        <w:tc>
          <w:tcPr>
            <w:tcW w:w="1809" w:type="dxa"/>
            <w:tcBorders>
              <w:top w:val="single" w:sz="4" w:space="0" w:color="auto"/>
              <w:left w:val="single" w:sz="4" w:space="0" w:color="auto"/>
              <w:bottom w:val="single" w:sz="4" w:space="0" w:color="auto"/>
              <w:right w:val="single" w:sz="4" w:space="0" w:color="auto"/>
            </w:tcBorders>
            <w:hideMark/>
          </w:tcPr>
          <w:p w14:paraId="29281592" w14:textId="7D63DC4A" w:rsidR="0087446B" w:rsidRDefault="006342B1" w:rsidP="0087446B">
            <w:pPr>
              <w:spacing w:before="0" w:after="0"/>
              <w:ind w:right="179"/>
              <w:jc w:val="center"/>
              <w:rPr>
                <w:rFonts w:ascii="Times New Roman" w:eastAsia="Arial Unicode MS" w:hAnsi="Times New Roman"/>
                <w:b/>
                <w:bCs/>
                <w:sz w:val="22"/>
                <w:szCs w:val="22"/>
              </w:rPr>
            </w:pPr>
            <w:r>
              <w:rPr>
                <w:rFonts w:ascii="Times New Roman" w:eastAsia="Arial Unicode MS" w:hAnsi="Times New Roman"/>
                <w:b/>
                <w:bCs/>
                <w:sz w:val="22"/>
                <w:szCs w:val="22"/>
              </w:rPr>
              <w:t>1</w:t>
            </w:r>
            <w:r w:rsidR="0087446B">
              <w:rPr>
                <w:rFonts w:ascii="Times New Roman" w:eastAsia="Arial Unicode MS" w:hAnsi="Times New Roman"/>
                <w:b/>
                <w:bCs/>
                <w:sz w:val="22"/>
                <w:szCs w:val="22"/>
              </w:rPr>
              <w:t>.3</w:t>
            </w:r>
          </w:p>
        </w:tc>
        <w:tc>
          <w:tcPr>
            <w:tcW w:w="2552" w:type="dxa"/>
            <w:tcBorders>
              <w:top w:val="single" w:sz="4" w:space="0" w:color="auto"/>
              <w:left w:val="single" w:sz="4" w:space="0" w:color="auto"/>
              <w:bottom w:val="single" w:sz="4" w:space="0" w:color="auto"/>
              <w:right w:val="single" w:sz="4" w:space="0" w:color="auto"/>
            </w:tcBorders>
            <w:hideMark/>
          </w:tcPr>
          <w:p w14:paraId="01D03A2A" w14:textId="77777777" w:rsidR="0087446B" w:rsidRDefault="0087446B" w:rsidP="0087446B">
            <w:pPr>
              <w:spacing w:before="0" w:after="0"/>
              <w:ind w:right="115"/>
              <w:jc w:val="center"/>
              <w:rPr>
                <w:rFonts w:ascii="Times New Roman" w:hAnsi="Times New Roman"/>
                <w:bCs/>
                <w:sz w:val="22"/>
                <w:szCs w:val="22"/>
              </w:rPr>
            </w:pPr>
            <w:r>
              <w:rPr>
                <w:rFonts w:ascii="Times New Roman" w:hAnsi="Times New Roman"/>
                <w:bCs/>
                <w:sz w:val="22"/>
                <w:szCs w:val="22"/>
              </w:rPr>
              <w:t xml:space="preserve">Bicycle battery </w:t>
            </w:r>
            <w:r>
              <w:rPr>
                <w:rFonts w:ascii="Times New Roman" w:hAnsi="Times New Roman"/>
                <w:bCs/>
                <w:sz w:val="22"/>
                <w:szCs w:val="22"/>
                <w:lang w:val="en-US"/>
              </w:rPr>
              <w:t>charger</w:t>
            </w:r>
          </w:p>
        </w:tc>
      </w:tr>
    </w:tbl>
    <w:p w14:paraId="305AAABD" w14:textId="77777777" w:rsidR="0087446B" w:rsidRDefault="0087446B" w:rsidP="0087446B">
      <w:pPr>
        <w:pStyle w:val="Heading2"/>
        <w:keepNext w:val="0"/>
        <w:tabs>
          <w:tab w:val="num" w:pos="709"/>
        </w:tabs>
        <w:ind w:left="567"/>
        <w:jc w:val="both"/>
        <w:rPr>
          <w:rFonts w:ascii="Times New Roman" w:hAnsi="Times New Roman"/>
          <w:sz w:val="22"/>
          <w:lang w:val="en-GB"/>
        </w:rPr>
      </w:pPr>
    </w:p>
    <w:p w14:paraId="4D55C0EB" w14:textId="77777777" w:rsidR="0087446B" w:rsidRDefault="0087446B" w:rsidP="009565EE">
      <w:pPr>
        <w:ind w:left="1429" w:hanging="709"/>
        <w:jc w:val="both"/>
        <w:rPr>
          <w:rFonts w:ascii="Times New Roman" w:hAnsi="Times New Roman"/>
          <w:sz w:val="22"/>
          <w:szCs w:val="22"/>
          <w:lang w:val="en-IE"/>
        </w:rPr>
      </w:pPr>
    </w:p>
    <w:p w14:paraId="0CDD29B0" w14:textId="77777777" w:rsidR="006342B1" w:rsidRDefault="007D2072" w:rsidP="00836C22">
      <w:pPr>
        <w:ind w:left="1134" w:hanging="709"/>
        <w:jc w:val="both"/>
        <w:rPr>
          <w:rFonts w:ascii="Times New Roman" w:hAnsi="Times New Roman"/>
          <w:sz w:val="22"/>
          <w:szCs w:val="22"/>
          <w:lang w:val="en-IE"/>
        </w:rPr>
      </w:pPr>
      <w:r>
        <w:rPr>
          <w:rFonts w:ascii="Times New Roman" w:hAnsi="Times New Roman"/>
          <w:sz w:val="22"/>
          <w:szCs w:val="22"/>
          <w:lang w:val="en-IE"/>
        </w:rPr>
        <w:tab/>
      </w:r>
      <w:r w:rsidR="0087446B">
        <w:rPr>
          <w:rFonts w:ascii="Times New Roman" w:hAnsi="Times New Roman"/>
          <w:sz w:val="22"/>
          <w:szCs w:val="22"/>
          <w:lang w:val="en-IE"/>
        </w:rPr>
        <w:br/>
      </w:r>
      <w:r w:rsidR="006342B1" w:rsidRPr="006342B1">
        <w:rPr>
          <w:rFonts w:ascii="Times New Roman" w:hAnsi="Times New Roman"/>
          <w:sz w:val="22"/>
          <w:szCs w:val="22"/>
          <w:lang w:val="en-IE"/>
        </w:rPr>
        <w:t xml:space="preserve">All supplies under items 1. 2 and 1.3 of this </w:t>
      </w:r>
      <w:proofErr w:type="gramStart"/>
      <w:r w:rsidR="006342B1" w:rsidRPr="006342B1">
        <w:rPr>
          <w:rFonts w:ascii="Times New Roman" w:hAnsi="Times New Roman"/>
          <w:sz w:val="22"/>
          <w:szCs w:val="22"/>
          <w:lang w:val="en-IE"/>
        </w:rPr>
        <w:t>contract</w:t>
      </w:r>
      <w:proofErr w:type="gramEnd"/>
      <w:r w:rsidR="006342B1" w:rsidRPr="006342B1">
        <w:rPr>
          <w:rFonts w:ascii="Times New Roman" w:hAnsi="Times New Roman"/>
          <w:sz w:val="22"/>
          <w:szCs w:val="22"/>
          <w:lang w:val="en-IE"/>
        </w:rPr>
        <w:t xml:space="preserve"> may originate in any country.</w:t>
      </w:r>
    </w:p>
    <w:p w14:paraId="60913FB9" w14:textId="62DAE703" w:rsidR="007D2072" w:rsidRDefault="006342B1" w:rsidP="00836C22">
      <w:pPr>
        <w:ind w:left="1134" w:hanging="709"/>
        <w:jc w:val="both"/>
        <w:rPr>
          <w:rFonts w:ascii="Times New Roman" w:hAnsi="Times New Roman"/>
          <w:sz w:val="22"/>
          <w:szCs w:val="22"/>
          <w:lang w:val="en-IE"/>
        </w:rPr>
      </w:pPr>
      <w:r>
        <w:rPr>
          <w:rFonts w:ascii="Times New Roman" w:hAnsi="Times New Roman"/>
          <w:sz w:val="22"/>
          <w:szCs w:val="22"/>
          <w:lang w:val="en-IE"/>
        </w:rPr>
        <w:t xml:space="preserve">            </w:t>
      </w:r>
      <w:r w:rsidR="007D2072" w:rsidRPr="007D2072">
        <w:rPr>
          <w:rFonts w:ascii="Times New Roman" w:hAnsi="Times New Roman"/>
          <w:sz w:val="22"/>
          <w:szCs w:val="22"/>
          <w:lang w:val="en-IE"/>
        </w:rPr>
        <w:t>A certificate of origin for the goods must be provided by the contractor at the latest when it requests provisional acceptance of the goods. Failure to comply with this condition may result in the termination of the contract and/or suspension of payment.</w:t>
      </w:r>
    </w:p>
    <w:p w14:paraId="08F8112F" w14:textId="716CA99B" w:rsidR="0047783A" w:rsidRPr="003D6B6C" w:rsidRDefault="0047783A" w:rsidP="00B34179">
      <w:pPr>
        <w:spacing w:before="240"/>
        <w:ind w:left="1134" w:hanging="1134"/>
        <w:jc w:val="both"/>
        <w:rPr>
          <w:rFonts w:ascii="Times New Roman" w:hAnsi="Times New Roman"/>
          <w:b/>
          <w:sz w:val="24"/>
          <w:szCs w:val="24"/>
        </w:rPr>
      </w:pPr>
      <w:bookmarkStart w:id="11" w:name="_Toc124934901"/>
      <w:r w:rsidRPr="003D6B6C">
        <w:rPr>
          <w:rFonts w:ascii="Times New Roman" w:hAnsi="Times New Roman"/>
          <w:b/>
          <w:sz w:val="24"/>
          <w:szCs w:val="24"/>
        </w:rPr>
        <w:t>Article 11</w:t>
      </w:r>
      <w:r w:rsidRPr="003D6B6C">
        <w:rPr>
          <w:rFonts w:ascii="Times New Roman" w:hAnsi="Times New Roman"/>
          <w:b/>
          <w:sz w:val="24"/>
          <w:szCs w:val="24"/>
        </w:rPr>
        <w:tab/>
      </w:r>
      <w:r w:rsidR="00FC77A9">
        <w:rPr>
          <w:rFonts w:ascii="Times New Roman" w:hAnsi="Times New Roman"/>
          <w:b/>
          <w:sz w:val="24"/>
          <w:szCs w:val="24"/>
        </w:rPr>
        <w:t xml:space="preserve">   </w:t>
      </w:r>
      <w:r w:rsidRPr="003D6B6C">
        <w:rPr>
          <w:rFonts w:ascii="Times New Roman" w:hAnsi="Times New Roman"/>
          <w:b/>
          <w:sz w:val="24"/>
          <w:szCs w:val="24"/>
        </w:rPr>
        <w:t>Performance guarantee</w:t>
      </w:r>
      <w:bookmarkEnd w:id="11"/>
    </w:p>
    <w:p w14:paraId="2A93A0B0" w14:textId="77777777" w:rsidR="008432DA" w:rsidRPr="003D6B6C" w:rsidRDefault="00F355C1" w:rsidP="008432D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12" w:name="_Toc124934902"/>
      <w:r w:rsidR="008432DA" w:rsidRPr="00354899">
        <w:rPr>
          <w:rFonts w:ascii="Times New Roman" w:hAnsi="Times New Roman"/>
          <w:sz w:val="22"/>
          <w:szCs w:val="22"/>
        </w:rPr>
        <w:t>The amount of the performance guarantee shall be 10% of the total contract price, including any amounts stipulated in addenda to the contract.</w:t>
      </w:r>
    </w:p>
    <w:p w14:paraId="7E65A926" w14:textId="6F1C0F3E" w:rsidR="0047783A" w:rsidRPr="003D6B6C" w:rsidRDefault="0047783A" w:rsidP="007A4758">
      <w:pPr>
        <w:spacing w:before="0"/>
        <w:ind w:left="709" w:hanging="709"/>
        <w:jc w:val="both"/>
        <w:rPr>
          <w:rFonts w:ascii="Times New Roman" w:hAnsi="Times New Roman"/>
          <w:b/>
          <w:sz w:val="24"/>
          <w:szCs w:val="24"/>
        </w:rPr>
      </w:pPr>
      <w:r w:rsidRPr="003D6B6C">
        <w:rPr>
          <w:rFonts w:ascii="Times New Roman" w:hAnsi="Times New Roman"/>
          <w:b/>
          <w:sz w:val="24"/>
          <w:szCs w:val="24"/>
        </w:rPr>
        <w:t>Article 12</w:t>
      </w:r>
      <w:r w:rsidR="007A4758">
        <w:rPr>
          <w:rFonts w:ascii="Times New Roman" w:hAnsi="Times New Roman"/>
          <w:b/>
          <w:sz w:val="24"/>
          <w:szCs w:val="24"/>
        </w:rPr>
        <w:t xml:space="preserve">    </w:t>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2"/>
    </w:p>
    <w:p w14:paraId="31576DC0" w14:textId="77777777" w:rsidR="00DB1DFB" w:rsidRPr="003D6B6C" w:rsidRDefault="00DB1DFB" w:rsidP="00DB1DFB">
      <w:pPr>
        <w:tabs>
          <w:tab w:val="left" w:pos="567"/>
        </w:tabs>
        <w:spacing w:before="240"/>
        <w:ind w:left="1417" w:hanging="708"/>
        <w:jc w:val="both"/>
        <w:rPr>
          <w:rFonts w:ascii="Times New Roman" w:hAnsi="Times New Roman"/>
          <w:sz w:val="22"/>
          <w:szCs w:val="22"/>
        </w:rPr>
      </w:pPr>
      <w:r w:rsidRPr="00DD0DDE">
        <w:rPr>
          <w:rFonts w:ascii="Times New Roman" w:hAnsi="Times New Roman"/>
          <w:sz w:val="22"/>
          <w:szCs w:val="22"/>
        </w:rPr>
        <w:t>12.1(a)</w:t>
      </w:r>
      <w:r w:rsidRPr="00DD0DDE">
        <w:rPr>
          <w:rFonts w:ascii="Times New Roman" w:hAnsi="Times New Roman"/>
          <w:sz w:val="22"/>
          <w:szCs w:val="22"/>
        </w:rPr>
        <w:tab/>
        <w:t>All liabilities and insurance costs including transportation and personnel will be borne by the Contractor until the Provisional Acceptance is issued without prejudice to article 29.7 of the General Conditions.</w:t>
      </w:r>
    </w:p>
    <w:p w14:paraId="67A00ACF" w14:textId="08E05625" w:rsidR="008432DA" w:rsidRPr="003D6B6C" w:rsidRDefault="003D6B6C" w:rsidP="008432DA">
      <w:pPr>
        <w:ind w:left="1843" w:hanging="1123"/>
        <w:jc w:val="both"/>
        <w:rPr>
          <w:rFonts w:ascii="Times New Roman" w:hAnsi="Times New Roman"/>
          <w:sz w:val="22"/>
          <w:szCs w:val="22"/>
        </w:rPr>
      </w:pPr>
      <w:r>
        <w:rPr>
          <w:rFonts w:ascii="Times New Roman" w:hAnsi="Times New Roman"/>
          <w:sz w:val="22"/>
          <w:szCs w:val="22"/>
        </w:rPr>
        <w:lastRenderedPageBreak/>
        <w:t>12.2</w:t>
      </w:r>
      <w:r w:rsidR="001020D9">
        <w:rPr>
          <w:rFonts w:ascii="Times New Roman" w:hAnsi="Times New Roman"/>
          <w:sz w:val="22"/>
          <w:szCs w:val="22"/>
        </w:rPr>
        <w:t>(</w:t>
      </w:r>
      <w:r w:rsidR="00F51D3D" w:rsidRPr="003D6B6C">
        <w:rPr>
          <w:rFonts w:ascii="Times New Roman" w:hAnsi="Times New Roman"/>
          <w:sz w:val="22"/>
          <w:szCs w:val="22"/>
        </w:rPr>
        <w:t>b), paragraph 2</w:t>
      </w:r>
      <w:bookmarkStart w:id="13" w:name="_Toc124934903"/>
      <w:r w:rsidR="008432DA">
        <w:rPr>
          <w:rFonts w:ascii="Times New Roman" w:hAnsi="Times New Roman"/>
          <w:sz w:val="22"/>
          <w:szCs w:val="22"/>
        </w:rPr>
        <w:t xml:space="preserve"> </w:t>
      </w:r>
      <w:r w:rsidR="008432DA" w:rsidRPr="00354899">
        <w:rPr>
          <w:rFonts w:ascii="Times New Roman" w:hAnsi="Times New Roman"/>
          <w:sz w:val="22"/>
          <w:szCs w:val="22"/>
        </w:rPr>
        <w:t>The Incoterm applicable shall be DDP:</w:t>
      </w:r>
    </w:p>
    <w:p w14:paraId="01CB9187" w14:textId="77777777" w:rsidR="008432DA" w:rsidRPr="00354899" w:rsidRDefault="008432DA" w:rsidP="008432DA">
      <w:pPr>
        <w:pStyle w:val="Default"/>
        <w:ind w:left="2268"/>
        <w:jc w:val="both"/>
        <w:rPr>
          <w:sz w:val="22"/>
          <w:szCs w:val="22"/>
        </w:rPr>
      </w:pPr>
      <w:r w:rsidRPr="00354899">
        <w:rPr>
          <w:b/>
          <w:i/>
          <w:iCs/>
          <w:sz w:val="22"/>
          <w:szCs w:val="22"/>
        </w:rPr>
        <w:t>DDP - Delivered Duty Paid</w:t>
      </w:r>
      <w:r w:rsidRPr="00354899">
        <w:rPr>
          <w:i/>
          <w:iCs/>
          <w:sz w:val="22"/>
          <w:szCs w:val="22"/>
        </w:rPr>
        <w:t xml:space="preserve">: </w:t>
      </w:r>
      <w:r w:rsidRPr="00354899">
        <w:rPr>
          <w:color w:val="222222"/>
          <w:sz w:val="22"/>
          <w:szCs w:val="22"/>
          <w:lang w:val="en"/>
        </w:rPr>
        <w:t>Incoterm which imposes on the seller maximum obligations vis-à-vis transportation and loss risks and damage associated with the goods:</w:t>
      </w:r>
    </w:p>
    <w:p w14:paraId="799A91DA" w14:textId="77777777" w:rsidR="008432DA" w:rsidRPr="00354899" w:rsidRDefault="008432DA" w:rsidP="008432DA">
      <w:pPr>
        <w:pStyle w:val="Default"/>
        <w:spacing w:after="120"/>
        <w:ind w:left="2268"/>
        <w:jc w:val="both"/>
        <w:rPr>
          <w:color w:val="222222"/>
          <w:sz w:val="22"/>
          <w:szCs w:val="22"/>
          <w:lang w:val="en"/>
        </w:rPr>
      </w:pPr>
      <w:r w:rsidRPr="00354899">
        <w:rPr>
          <w:i/>
          <w:iCs/>
          <w:sz w:val="22"/>
          <w:szCs w:val="22"/>
        </w:rPr>
        <w:t>‘</w:t>
      </w:r>
      <w:proofErr w:type="gramStart"/>
      <w:r w:rsidRPr="00354899">
        <w:rPr>
          <w:i/>
          <w:iCs/>
          <w:sz w:val="22"/>
          <w:szCs w:val="22"/>
        </w:rPr>
        <w:t>the</w:t>
      </w:r>
      <w:proofErr w:type="gramEnd"/>
      <w:r w:rsidRPr="00354899">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54899">
        <w:rPr>
          <w:rStyle w:val="FootnoteReference"/>
          <w:i/>
          <w:iCs/>
          <w:sz w:val="22"/>
          <w:szCs w:val="22"/>
        </w:rPr>
        <w:footnoteReference w:id="2"/>
      </w:r>
      <w:r w:rsidRPr="00354899">
        <w:rPr>
          <w:i/>
          <w:iCs/>
          <w:sz w:val="22"/>
          <w:szCs w:val="22"/>
        </w:rPr>
        <w:t xml:space="preserve"> </w:t>
      </w:r>
      <w:r w:rsidRPr="00354899">
        <w:rPr>
          <w:color w:val="222222"/>
          <w:sz w:val="22"/>
          <w:szCs w:val="22"/>
          <w:lang w:val="en"/>
        </w:rPr>
        <w:t>The transfer of risks and costs occurs at the place of unloading of the goods at the agreed place of destination.</w:t>
      </w:r>
    </w:p>
    <w:p w14:paraId="674BFA44" w14:textId="39DA3FAD" w:rsidR="0047783A" w:rsidRPr="003D6B6C" w:rsidRDefault="0047783A" w:rsidP="008432DA">
      <w:pPr>
        <w:spacing w:before="0"/>
        <w:ind w:left="1843" w:hanging="1418"/>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13"/>
      <w:r w:rsidR="0086688D" w:rsidRPr="003D6B6C">
        <w:rPr>
          <w:rFonts w:ascii="Times New Roman" w:hAnsi="Times New Roman"/>
          <w:b/>
          <w:sz w:val="24"/>
          <w:szCs w:val="24"/>
        </w:rPr>
        <w:t>Programme of implementation of tasks</w:t>
      </w:r>
    </w:p>
    <w:p w14:paraId="7C7FB3FF" w14:textId="53B8A91A" w:rsidR="008432DA" w:rsidRPr="007D525F" w:rsidRDefault="007619D9" w:rsidP="007619D9">
      <w:pPr>
        <w:ind w:left="1429" w:hanging="709"/>
        <w:jc w:val="both"/>
        <w:rPr>
          <w:rFonts w:ascii="Times New Roman" w:hAnsi="Times New Roman"/>
          <w:sz w:val="22"/>
          <w:szCs w:val="22"/>
        </w:rPr>
      </w:pPr>
      <w:r>
        <w:rPr>
          <w:rFonts w:ascii="Times New Roman" w:hAnsi="Times New Roman"/>
          <w:sz w:val="22"/>
          <w:szCs w:val="22"/>
        </w:rPr>
        <w:t xml:space="preserve">   </w:t>
      </w:r>
      <w:r w:rsidR="00AC1107" w:rsidRPr="003D6B6C">
        <w:rPr>
          <w:rFonts w:ascii="Times New Roman" w:hAnsi="Times New Roman"/>
          <w:sz w:val="22"/>
          <w:szCs w:val="22"/>
        </w:rPr>
        <w:t>13.2</w:t>
      </w:r>
      <w:r w:rsidR="00AC1107" w:rsidRPr="003D6B6C">
        <w:rPr>
          <w:rFonts w:ascii="Times New Roman" w:hAnsi="Times New Roman"/>
          <w:sz w:val="22"/>
          <w:szCs w:val="22"/>
        </w:rPr>
        <w:tab/>
      </w:r>
      <w:bookmarkStart w:id="14" w:name="_Toc124934904"/>
      <w:r w:rsidR="008432DA" w:rsidRPr="007D525F">
        <w:rPr>
          <w:rFonts w:ascii="Times New Roman" w:hAnsi="Times New Roman"/>
          <w:sz w:val="22"/>
          <w:szCs w:val="22"/>
        </w:rPr>
        <w:t xml:space="preserve">The contractor shall submit to the Contracting Authority for approval, copied to </w:t>
      </w:r>
      <w:proofErr w:type="spellStart"/>
      <w:r w:rsidR="00404B02">
        <w:rPr>
          <w:rFonts w:ascii="Times New Roman" w:hAnsi="Times New Roman"/>
          <w:sz w:val="22"/>
          <w:szCs w:val="22"/>
        </w:rPr>
        <w:t>Kahramanmaraş</w:t>
      </w:r>
      <w:proofErr w:type="spellEnd"/>
      <w:r w:rsidR="008432DA" w:rsidRPr="007D525F">
        <w:rPr>
          <w:rFonts w:ascii="Times New Roman" w:hAnsi="Times New Roman"/>
          <w:sz w:val="22"/>
          <w:szCs w:val="22"/>
        </w:rPr>
        <w:t xml:space="preserve"> Metropolitan Municipality within 14 days from the date of signature of the Contract, accurate and detailed programme of implementation of tasks as stipulated in Article 13.1 of the General Conditions. The programme should show, latest dates for: completion of manufacture, shipping, custom clearance (if applicable), arrival at place of delivery, completion of installation, commissioning and acceptance at the required locations. </w:t>
      </w:r>
    </w:p>
    <w:p w14:paraId="4A293466" w14:textId="77777777" w:rsidR="008432DA" w:rsidRPr="003D6B6C" w:rsidRDefault="008432DA" w:rsidP="007619D9">
      <w:pPr>
        <w:ind w:left="1429"/>
        <w:jc w:val="both"/>
        <w:rPr>
          <w:rFonts w:ascii="Times New Roman" w:hAnsi="Times New Roman"/>
          <w:b/>
          <w:sz w:val="22"/>
          <w:szCs w:val="22"/>
        </w:rPr>
      </w:pPr>
      <w:r w:rsidRPr="007D525F">
        <w:rPr>
          <w:rFonts w:ascii="Times New Roman" w:hAnsi="Times New Roman"/>
          <w:sz w:val="22"/>
          <w:szCs w:val="22"/>
        </w:rPr>
        <w:t>The Contracting Authority shall make comments and/or objections concerning the Programme within 7 calendar days of their submission. It shall be considered that all those comments and/or objections are accepted by the contractor, if he should not contradict them in writing, either by registered letter, or fax sent to the Contracting Authority, within 7 calendar days of their receipt. In the absence of any comments and/or objections by the Contracting Authority within 7 calendar days the Programme is deemed to be approved.</w:t>
      </w:r>
    </w:p>
    <w:p w14:paraId="48418BA7" w14:textId="77777777" w:rsidR="00BE1011" w:rsidRPr="003D6B6C" w:rsidRDefault="00BE1011" w:rsidP="00BE1011">
      <w:pPr>
        <w:spacing w:before="240"/>
        <w:ind w:left="1134" w:hanging="1134"/>
        <w:jc w:val="both"/>
        <w:rPr>
          <w:rFonts w:ascii="Times New Roman" w:hAnsi="Times New Roman"/>
          <w:b/>
          <w:sz w:val="24"/>
          <w:szCs w:val="24"/>
        </w:rPr>
      </w:pPr>
      <w:bookmarkStart w:id="15" w:name="_Toc124934905"/>
      <w:bookmarkEnd w:id="14"/>
      <w:r w:rsidRPr="0028322F">
        <w:rPr>
          <w:rFonts w:ascii="Times New Roman" w:hAnsi="Times New Roman"/>
          <w:b/>
          <w:sz w:val="24"/>
          <w:szCs w:val="24"/>
        </w:rPr>
        <w:t>Article 14</w:t>
      </w:r>
      <w:r w:rsidRPr="0028322F">
        <w:rPr>
          <w:rFonts w:ascii="Times New Roman" w:hAnsi="Times New Roman"/>
          <w:b/>
          <w:sz w:val="24"/>
          <w:szCs w:val="24"/>
        </w:rPr>
        <w:tab/>
        <w:t>Contractor’s drawings</w:t>
      </w:r>
    </w:p>
    <w:p w14:paraId="15975804" w14:textId="77777777" w:rsidR="00BE1011" w:rsidRPr="00F400AB" w:rsidRDefault="00BE1011" w:rsidP="00BE101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Pr="00F400AB">
        <w:rPr>
          <w:rFonts w:ascii="Times New Roman" w:hAnsi="Times New Roman"/>
          <w:sz w:val="22"/>
          <w:szCs w:val="22"/>
        </w:rPr>
        <w:t>The contractor shall submit to the Contracting Authority for approval:</w:t>
      </w:r>
    </w:p>
    <w:p w14:paraId="290CB5B7" w14:textId="7B06FFEF" w:rsidR="00BE1011" w:rsidRPr="00DD0DDE" w:rsidRDefault="00BE1011" w:rsidP="00BE1011">
      <w:pPr>
        <w:ind w:firstLine="426"/>
        <w:jc w:val="both"/>
        <w:rPr>
          <w:rFonts w:ascii="Times New Roman" w:hAnsi="Times New Roman"/>
          <w:b/>
          <w:bCs/>
          <w:sz w:val="22"/>
          <w:szCs w:val="22"/>
        </w:rPr>
      </w:pPr>
      <w:r w:rsidRPr="00DD0DDE">
        <w:rPr>
          <w:rFonts w:ascii="Times New Roman" w:hAnsi="Times New Roman"/>
          <w:b/>
          <w:bCs/>
          <w:sz w:val="22"/>
          <w:szCs w:val="22"/>
        </w:rPr>
        <w:t>Electric bicycle and auxiliary equipment</w:t>
      </w:r>
    </w:p>
    <w:p w14:paraId="67A3ECA5" w14:textId="56957A2B" w:rsidR="00BE1011" w:rsidRPr="001E0E2C" w:rsidRDefault="00BE1011" w:rsidP="00BE1011">
      <w:pPr>
        <w:pStyle w:val="ListParagraph"/>
        <w:numPr>
          <w:ilvl w:val="0"/>
          <w:numId w:val="28"/>
        </w:numPr>
        <w:jc w:val="both"/>
        <w:rPr>
          <w:rFonts w:ascii="Times New Roman" w:hAnsi="Times New Roman"/>
        </w:rPr>
      </w:pPr>
      <w:r w:rsidRPr="00505819">
        <w:rPr>
          <w:rFonts w:ascii="Times New Roman" w:hAnsi="Times New Roman"/>
          <w:b/>
        </w:rPr>
        <w:t xml:space="preserve">The outline </w:t>
      </w:r>
      <w:r>
        <w:rPr>
          <w:rFonts w:ascii="Times New Roman" w:hAnsi="Times New Roman"/>
          <w:b/>
        </w:rPr>
        <w:t>drawings</w:t>
      </w:r>
      <w:r>
        <w:rPr>
          <w:rFonts w:ascii="Times New Roman" w:hAnsi="Times New Roman"/>
        </w:rPr>
        <w:t xml:space="preserve"> of the Item </w:t>
      </w:r>
      <w:r w:rsidR="006342B1">
        <w:rPr>
          <w:rFonts w:ascii="Times New Roman" w:hAnsi="Times New Roman"/>
        </w:rPr>
        <w:t>1</w:t>
      </w:r>
      <w:r>
        <w:rPr>
          <w:rFonts w:ascii="Times New Roman" w:hAnsi="Times New Roman"/>
        </w:rPr>
        <w:t xml:space="preserve">.1 </w:t>
      </w:r>
      <w:r w:rsidRPr="001E0E2C">
        <w:rPr>
          <w:rFonts w:ascii="Times New Roman" w:hAnsi="Times New Roman"/>
          <w:lang w:val="en-US"/>
        </w:rPr>
        <w:t>in DWG and PDF</w:t>
      </w:r>
      <w:r>
        <w:rPr>
          <w:rFonts w:ascii="Times New Roman" w:hAnsi="Times New Roman"/>
          <w:lang w:val="en-US"/>
        </w:rPr>
        <w:t xml:space="preserve"> format</w:t>
      </w:r>
      <w:r>
        <w:rPr>
          <w:rFonts w:ascii="Times New Roman" w:hAnsi="Times New Roman"/>
        </w:rPr>
        <w:t>;</w:t>
      </w:r>
    </w:p>
    <w:p w14:paraId="16BA5481" w14:textId="3F7CB7AF" w:rsidR="00BE1011" w:rsidRDefault="00BE1011" w:rsidP="00BE1011">
      <w:pPr>
        <w:pStyle w:val="ListParagraph"/>
        <w:numPr>
          <w:ilvl w:val="0"/>
          <w:numId w:val="28"/>
        </w:numPr>
        <w:jc w:val="both"/>
        <w:rPr>
          <w:rFonts w:ascii="Times New Roman" w:hAnsi="Times New Roman"/>
        </w:rPr>
      </w:pPr>
      <w:r w:rsidRPr="00000F97">
        <w:rPr>
          <w:rFonts w:ascii="Times New Roman" w:hAnsi="Times New Roman"/>
          <w:b/>
        </w:rPr>
        <w:t>The prototype</w:t>
      </w:r>
      <w:r w:rsidRPr="001E0E2C">
        <w:rPr>
          <w:rFonts w:ascii="Times New Roman" w:hAnsi="Times New Roman"/>
        </w:rPr>
        <w:t xml:space="preserve"> of Item </w:t>
      </w:r>
      <w:r w:rsidR="006342B1">
        <w:rPr>
          <w:rFonts w:ascii="Times New Roman" w:hAnsi="Times New Roman"/>
        </w:rPr>
        <w:t>1</w:t>
      </w:r>
      <w:r w:rsidRPr="001E0E2C">
        <w:rPr>
          <w:rFonts w:ascii="Times New Roman" w:hAnsi="Times New Roman"/>
        </w:rPr>
        <w:t>.</w:t>
      </w:r>
      <w:r>
        <w:rPr>
          <w:rFonts w:ascii="Times New Roman" w:hAnsi="Times New Roman"/>
        </w:rPr>
        <w:t>1 within 30 days after the commencement.</w:t>
      </w:r>
    </w:p>
    <w:p w14:paraId="1B05DF2B" w14:textId="0014A6D7" w:rsidR="0047783A" w:rsidRPr="007A4758" w:rsidRDefault="0047783A" w:rsidP="00B34179">
      <w:pPr>
        <w:spacing w:before="240"/>
        <w:ind w:left="1134" w:hanging="1134"/>
        <w:jc w:val="both"/>
        <w:rPr>
          <w:rFonts w:ascii="Times New Roman" w:hAnsi="Times New Roman"/>
          <w:b/>
          <w:sz w:val="24"/>
          <w:szCs w:val="24"/>
        </w:rPr>
      </w:pPr>
      <w:r w:rsidRPr="007A4758">
        <w:rPr>
          <w:rFonts w:ascii="Times New Roman" w:hAnsi="Times New Roman"/>
          <w:b/>
          <w:sz w:val="24"/>
          <w:szCs w:val="24"/>
        </w:rPr>
        <w:t>Article 15</w:t>
      </w:r>
      <w:r w:rsidR="007B4853" w:rsidRPr="007A4758">
        <w:rPr>
          <w:rFonts w:ascii="Times New Roman" w:hAnsi="Times New Roman"/>
          <w:b/>
          <w:sz w:val="24"/>
          <w:szCs w:val="24"/>
        </w:rPr>
        <w:tab/>
      </w:r>
      <w:r w:rsidR="005B0129" w:rsidRPr="007A4758">
        <w:rPr>
          <w:rFonts w:ascii="Times New Roman" w:hAnsi="Times New Roman"/>
          <w:b/>
          <w:sz w:val="24"/>
          <w:szCs w:val="24"/>
        </w:rPr>
        <w:t>Sufficiency of t</w:t>
      </w:r>
      <w:r w:rsidRPr="007A4758">
        <w:rPr>
          <w:rFonts w:ascii="Times New Roman" w:hAnsi="Times New Roman"/>
          <w:b/>
          <w:sz w:val="24"/>
          <w:szCs w:val="24"/>
        </w:rPr>
        <w:t>ender prices</w:t>
      </w:r>
      <w:bookmarkEnd w:id="15"/>
    </w:p>
    <w:p w14:paraId="4B4F2207" w14:textId="0DF34B22" w:rsidR="0047783A" w:rsidRPr="007A4758" w:rsidRDefault="009F323B" w:rsidP="007A4758">
      <w:pPr>
        <w:jc w:val="both"/>
        <w:rPr>
          <w:rFonts w:ascii="Times New Roman" w:hAnsi="Times New Roman"/>
          <w:b/>
          <w:sz w:val="24"/>
          <w:szCs w:val="24"/>
        </w:rPr>
      </w:pPr>
      <w:r w:rsidRPr="007A4758">
        <w:rPr>
          <w:rFonts w:ascii="Times New Roman" w:hAnsi="Times New Roman"/>
          <w:sz w:val="22"/>
        </w:rPr>
        <w:t xml:space="preserve">The price of the supplies shall be that shown on the financial offer (specimen in Annex IV). </w:t>
      </w:r>
    </w:p>
    <w:p w14:paraId="68BC2499" w14:textId="4B023DE1" w:rsidR="00EB32E9" w:rsidRPr="003D6B6C" w:rsidRDefault="0047783A" w:rsidP="00B34179">
      <w:pPr>
        <w:spacing w:before="240"/>
        <w:ind w:left="1134" w:hanging="1134"/>
        <w:jc w:val="both"/>
        <w:rPr>
          <w:rFonts w:ascii="Times New Roman" w:hAnsi="Times New Roman"/>
          <w:b/>
          <w:sz w:val="24"/>
          <w:szCs w:val="24"/>
        </w:rPr>
      </w:pPr>
      <w:bookmarkStart w:id="16"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6"/>
      <w:r w:rsidR="00EB32E9" w:rsidRPr="003D6B6C">
        <w:rPr>
          <w:rFonts w:ascii="Times New Roman" w:hAnsi="Times New Roman"/>
          <w:b/>
          <w:sz w:val="24"/>
          <w:szCs w:val="24"/>
        </w:rPr>
        <w:t xml:space="preserve"> </w:t>
      </w:r>
    </w:p>
    <w:p w14:paraId="46F235D9" w14:textId="77777777" w:rsidR="000A1D9C" w:rsidRDefault="00EB32E9" w:rsidP="00E56600">
      <w:pPr>
        <w:ind w:left="1134" w:hanging="709"/>
        <w:jc w:val="both"/>
        <w:rPr>
          <w:rFonts w:ascii="Times New Roman" w:hAnsi="Times New Roman"/>
          <w:sz w:val="22"/>
          <w:szCs w:val="22"/>
        </w:rPr>
      </w:pPr>
      <w:r w:rsidRPr="003D6B6C">
        <w:rPr>
          <w:rFonts w:ascii="Times New Roman" w:hAnsi="Times New Roman"/>
          <w:sz w:val="22"/>
          <w:szCs w:val="22"/>
        </w:rPr>
        <w:t>18.</w:t>
      </w:r>
      <w:r w:rsidR="00015C5E">
        <w:rPr>
          <w:rFonts w:ascii="Times New Roman" w:hAnsi="Times New Roman"/>
          <w:sz w:val="22"/>
          <w:szCs w:val="22"/>
        </w:rPr>
        <w:t>2</w:t>
      </w:r>
      <w:r w:rsidRPr="003D6B6C">
        <w:rPr>
          <w:rFonts w:ascii="Times New Roman" w:hAnsi="Times New Roman"/>
          <w:sz w:val="22"/>
          <w:szCs w:val="22"/>
        </w:rPr>
        <w:tab/>
      </w:r>
      <w:bookmarkStart w:id="17" w:name="_Toc124934908"/>
      <w:r w:rsidR="00E56600" w:rsidRPr="000A7359">
        <w:rPr>
          <w:rFonts w:ascii="Times New Roman" w:hAnsi="Times New Roman"/>
          <w:sz w:val="22"/>
        </w:rPr>
        <w:t>The contracting authority shall inform the contractor by delivery order of the date on which delivery of the goods/implementation of the tasks shall be</w:t>
      </w:r>
      <w:r w:rsidR="00E56600" w:rsidRPr="00661C07">
        <w:rPr>
          <w:rFonts w:ascii="Times New Roman" w:hAnsi="Times New Roman"/>
          <w:sz w:val="22"/>
        </w:rPr>
        <w:t>gin.</w:t>
      </w:r>
      <w:r w:rsidR="00E56600">
        <w:rPr>
          <w:rFonts w:ascii="Times New Roman" w:hAnsi="Times New Roman"/>
          <w:sz w:val="22"/>
          <w:szCs w:val="22"/>
        </w:rPr>
        <w:t xml:space="preserve"> </w:t>
      </w:r>
    </w:p>
    <w:p w14:paraId="0AC9C1C7" w14:textId="77777777" w:rsidR="00A3522F" w:rsidRDefault="00A3522F" w:rsidP="000A1D9C">
      <w:pPr>
        <w:spacing w:before="240"/>
        <w:ind w:left="1134" w:hanging="1134"/>
        <w:jc w:val="both"/>
        <w:rPr>
          <w:rFonts w:ascii="Times New Roman" w:hAnsi="Times New Roman"/>
          <w:b/>
          <w:sz w:val="24"/>
          <w:szCs w:val="24"/>
        </w:rPr>
      </w:pPr>
    </w:p>
    <w:p w14:paraId="40415148" w14:textId="165D0D09" w:rsidR="0047783A" w:rsidRPr="003D6B6C" w:rsidRDefault="0047783A" w:rsidP="000A1D9C">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19</w:t>
      </w:r>
      <w:r w:rsidR="00FC77A9">
        <w:rPr>
          <w:rFonts w:ascii="Times New Roman" w:hAnsi="Times New Roman"/>
          <w:b/>
          <w:sz w:val="24"/>
          <w:szCs w:val="24"/>
        </w:rPr>
        <w:t xml:space="preserve"> </w:t>
      </w:r>
      <w:r w:rsidRPr="003D6B6C">
        <w:rPr>
          <w:rFonts w:ascii="Times New Roman" w:hAnsi="Times New Roman"/>
          <w:b/>
          <w:sz w:val="24"/>
          <w:szCs w:val="24"/>
        </w:rPr>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7"/>
      <w:r w:rsidRPr="003D6B6C">
        <w:rPr>
          <w:rFonts w:ascii="Times New Roman" w:hAnsi="Times New Roman"/>
          <w:b/>
          <w:sz w:val="24"/>
          <w:szCs w:val="24"/>
        </w:rPr>
        <w:t xml:space="preserve"> of the tasks</w:t>
      </w:r>
    </w:p>
    <w:p w14:paraId="110DEDA4" w14:textId="3EC5A7E9" w:rsidR="00AD372C" w:rsidRPr="00AD372C" w:rsidRDefault="0047783A" w:rsidP="00AD372C">
      <w:pPr>
        <w:ind w:left="709"/>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8" w:name="_Toc124934911"/>
      <w:r w:rsidR="00AD372C" w:rsidRPr="00A3522F">
        <w:rPr>
          <w:rFonts w:ascii="Times New Roman" w:hAnsi="Times New Roman"/>
          <w:sz w:val="22"/>
          <w:szCs w:val="22"/>
        </w:rPr>
        <w:t>The time limit for delivery shall be &lt;insert date and time&gt;.</w:t>
      </w:r>
    </w:p>
    <w:p w14:paraId="214B4E5B" w14:textId="2DDEEE31" w:rsidR="007619D9" w:rsidRDefault="00AD372C" w:rsidP="000A1D9C">
      <w:pPr>
        <w:spacing w:before="0"/>
        <w:ind w:left="720" w:firstLine="720"/>
        <w:jc w:val="both"/>
        <w:rPr>
          <w:rFonts w:ascii="Times New Roman" w:hAnsi="Times New Roman"/>
          <w:b/>
          <w:sz w:val="24"/>
          <w:szCs w:val="24"/>
        </w:rPr>
      </w:pPr>
      <w:r w:rsidRPr="00AD372C">
        <w:rPr>
          <w:rFonts w:ascii="Times New Roman" w:hAnsi="Times New Roman"/>
          <w:sz w:val="22"/>
          <w:szCs w:val="22"/>
        </w:rPr>
        <w:t xml:space="preserve">The implementation period of tasks shall be </w:t>
      </w:r>
      <w:r w:rsidR="001B1C76">
        <w:rPr>
          <w:rFonts w:ascii="Times New Roman" w:hAnsi="Times New Roman"/>
          <w:sz w:val="22"/>
          <w:szCs w:val="22"/>
        </w:rPr>
        <w:t>5</w:t>
      </w:r>
      <w:r w:rsidRPr="00AD372C">
        <w:rPr>
          <w:rFonts w:ascii="Times New Roman" w:hAnsi="Times New Roman"/>
          <w:sz w:val="22"/>
          <w:szCs w:val="22"/>
        </w:rPr>
        <w:t xml:space="preserve"> (</w:t>
      </w:r>
      <w:r w:rsidR="001B1C76">
        <w:rPr>
          <w:rFonts w:ascii="Times New Roman" w:hAnsi="Times New Roman"/>
          <w:sz w:val="22"/>
          <w:szCs w:val="22"/>
        </w:rPr>
        <w:t>five)</w:t>
      </w:r>
      <w:r w:rsidRPr="00AD372C">
        <w:rPr>
          <w:rFonts w:ascii="Times New Roman" w:hAnsi="Times New Roman"/>
          <w:sz w:val="22"/>
          <w:szCs w:val="22"/>
        </w:rPr>
        <w:t xml:space="preserve"> months.</w:t>
      </w:r>
    </w:p>
    <w:p w14:paraId="6EE8627F" w14:textId="0BE668B3" w:rsidR="0047783A" w:rsidRPr="003D6B6C" w:rsidRDefault="0047783A" w:rsidP="007619D9">
      <w:pPr>
        <w:spacing w:before="0"/>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14:paraId="5813A8B6" w14:textId="09341306" w:rsidR="007619D9" w:rsidRDefault="005B0129" w:rsidP="007619D9">
      <w:pPr>
        <w:ind w:left="720"/>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9" w:name="_Toc124934912"/>
      <w:r w:rsidR="007619D9">
        <w:rPr>
          <w:rFonts w:ascii="Times New Roman" w:hAnsi="Times New Roman"/>
          <w:bCs/>
          <w:sz w:val="22"/>
          <w:szCs w:val="22"/>
        </w:rPr>
        <w:t>T</w:t>
      </w:r>
      <w:r w:rsidR="007619D9" w:rsidRPr="00EB34B7">
        <w:rPr>
          <w:rFonts w:ascii="Times New Roman" w:hAnsi="Times New Roman"/>
          <w:sz w:val="22"/>
          <w:szCs w:val="22"/>
        </w:rPr>
        <w:t xml:space="preserve">he inspection and testing on completion prior to the </w:t>
      </w:r>
      <w:r w:rsidR="007619D9" w:rsidRPr="00EB34B7">
        <w:rPr>
          <w:rFonts w:ascii="Times New Roman" w:hAnsi="Times New Roman"/>
          <w:sz w:val="22"/>
        </w:rPr>
        <w:t>Provisional Acceptance</w:t>
      </w:r>
      <w:r w:rsidR="007619D9" w:rsidRPr="00EB34B7">
        <w:rPr>
          <w:rFonts w:ascii="Times New Roman" w:hAnsi="Times New Roman"/>
          <w:sz w:val="22"/>
          <w:szCs w:val="22"/>
        </w:rPr>
        <w:t xml:space="preserve"> will take place at the location where the supplies are delivered and tested.</w:t>
      </w:r>
    </w:p>
    <w:p w14:paraId="053C3EBD" w14:textId="77777777" w:rsidR="007619D9" w:rsidRDefault="007619D9" w:rsidP="007619D9">
      <w:pPr>
        <w:ind w:left="720"/>
        <w:jc w:val="both"/>
        <w:rPr>
          <w:rFonts w:ascii="Times New Roman" w:hAnsi="Times New Roman"/>
          <w:bCs/>
          <w:sz w:val="22"/>
          <w:szCs w:val="22"/>
        </w:rPr>
      </w:pPr>
      <w:r w:rsidRPr="001A6E0D">
        <w:rPr>
          <w:rFonts w:ascii="Times New Roman" w:hAnsi="Times New Roman"/>
          <w:bCs/>
          <w:sz w:val="22"/>
          <w:szCs w:val="22"/>
        </w:rPr>
        <w:t xml:space="preserve">All accidents or </w:t>
      </w:r>
      <w:r>
        <w:rPr>
          <w:rFonts w:ascii="Times New Roman" w:hAnsi="Times New Roman"/>
          <w:bCs/>
          <w:sz w:val="22"/>
          <w:szCs w:val="22"/>
        </w:rPr>
        <w:t>malfunction</w:t>
      </w:r>
      <w:r w:rsidRPr="001A6E0D">
        <w:rPr>
          <w:rFonts w:ascii="Times New Roman" w:hAnsi="Times New Roman"/>
          <w:bCs/>
          <w:sz w:val="22"/>
          <w:szCs w:val="22"/>
        </w:rPr>
        <w:t xml:space="preserve"> that can occur during inspection and testing due to faulty manufacture and functioning of the supplies shall be responsibility of the contractor.</w:t>
      </w:r>
    </w:p>
    <w:p w14:paraId="733F8C5C" w14:textId="77777777" w:rsidR="007619D9" w:rsidRPr="00FB1432" w:rsidRDefault="007619D9" w:rsidP="007619D9">
      <w:pPr>
        <w:ind w:left="720"/>
        <w:jc w:val="both"/>
        <w:rPr>
          <w:rFonts w:ascii="Times New Roman" w:hAnsi="Times New Roman"/>
          <w:bCs/>
          <w:sz w:val="22"/>
          <w:szCs w:val="22"/>
        </w:rPr>
      </w:pPr>
      <w:r w:rsidRPr="00F400AB">
        <w:rPr>
          <w:rFonts w:ascii="Times New Roman" w:hAnsi="Times New Roman"/>
          <w:bCs/>
          <w:sz w:val="22"/>
          <w:szCs w:val="22"/>
        </w:rPr>
        <w:t xml:space="preserve">During the inspection and testing, the required functions and technical performances, according to the technical specifications and the technical documentation shall be verified. </w:t>
      </w:r>
    </w:p>
    <w:p w14:paraId="67F88BFF" w14:textId="77777777" w:rsidR="007619D9" w:rsidRDefault="007619D9" w:rsidP="007619D9">
      <w:pPr>
        <w:ind w:left="720"/>
        <w:jc w:val="both"/>
        <w:rPr>
          <w:rFonts w:ascii="Times New Roman" w:hAnsi="Times New Roman"/>
          <w:sz w:val="22"/>
          <w:szCs w:val="22"/>
          <w:lang w:val="en-US"/>
        </w:rPr>
      </w:pPr>
      <w:r w:rsidRPr="00EB34B7">
        <w:rPr>
          <w:rFonts w:ascii="Times New Roman" w:hAnsi="Times New Roman"/>
          <w:sz w:val="22"/>
          <w:szCs w:val="22"/>
          <w:lang w:val="en-US"/>
        </w:rPr>
        <w:t>The contractor shall test the functionality of each item.</w:t>
      </w:r>
      <w:r>
        <w:rPr>
          <w:rFonts w:ascii="Times New Roman" w:hAnsi="Times New Roman"/>
          <w:sz w:val="22"/>
          <w:szCs w:val="22"/>
          <w:lang w:val="en-US"/>
        </w:rPr>
        <w:t xml:space="preserve"> </w:t>
      </w:r>
      <w:r w:rsidRPr="00EB34B7">
        <w:rPr>
          <w:rFonts w:ascii="Times New Roman" w:hAnsi="Times New Roman"/>
          <w:sz w:val="22"/>
          <w:szCs w:val="22"/>
          <w:lang w:val="en-US"/>
        </w:rPr>
        <w:t>The contractor shall provide documentary evidence of test results to be submitted to the Contracting Authority prior to acceptance.</w:t>
      </w:r>
    </w:p>
    <w:p w14:paraId="451FA91A" w14:textId="77777777" w:rsidR="007619D9" w:rsidRDefault="007619D9" w:rsidP="007619D9">
      <w:pPr>
        <w:ind w:left="720"/>
        <w:jc w:val="both"/>
        <w:rPr>
          <w:rFonts w:ascii="Times New Roman" w:hAnsi="Times New Roman"/>
          <w:bCs/>
          <w:sz w:val="22"/>
          <w:szCs w:val="22"/>
        </w:rPr>
      </w:pPr>
      <w:r w:rsidRPr="00663B80">
        <w:rPr>
          <w:rFonts w:ascii="Times New Roman" w:hAnsi="Times New Roman"/>
          <w:bCs/>
          <w:sz w:val="22"/>
          <w:szCs w:val="22"/>
        </w:rPr>
        <w:t>At least 2 weeks before the inspection and testing, the contractor shall inform the</w:t>
      </w:r>
      <w:r w:rsidRPr="00CA6417">
        <w:rPr>
          <w:rFonts w:ascii="Times New Roman" w:hAnsi="Times New Roman"/>
          <w:bCs/>
          <w:sz w:val="22"/>
          <w:szCs w:val="22"/>
        </w:rPr>
        <w:t xml:space="preserve"> Contracting Authority</w:t>
      </w:r>
      <w:r>
        <w:rPr>
          <w:rFonts w:ascii="Times New Roman" w:hAnsi="Times New Roman"/>
          <w:bCs/>
          <w:sz w:val="22"/>
          <w:szCs w:val="22"/>
        </w:rPr>
        <w:t xml:space="preserve"> and </w:t>
      </w:r>
      <w:proofErr w:type="spellStart"/>
      <w:r>
        <w:rPr>
          <w:rFonts w:ascii="Times New Roman" w:hAnsi="Times New Roman"/>
          <w:bCs/>
          <w:sz w:val="22"/>
          <w:szCs w:val="22"/>
        </w:rPr>
        <w:t>Kahramanmaraş</w:t>
      </w:r>
      <w:proofErr w:type="spellEnd"/>
      <w:r>
        <w:rPr>
          <w:rFonts w:ascii="Times New Roman" w:hAnsi="Times New Roman"/>
          <w:bCs/>
          <w:sz w:val="22"/>
          <w:szCs w:val="22"/>
        </w:rPr>
        <w:t xml:space="preserve"> Metropolitan Municipality </w:t>
      </w:r>
      <w:r w:rsidRPr="00CA6417">
        <w:rPr>
          <w:rFonts w:ascii="Times New Roman" w:hAnsi="Times New Roman"/>
          <w:bCs/>
          <w:sz w:val="22"/>
          <w:szCs w:val="22"/>
        </w:rPr>
        <w:t xml:space="preserve">about the schedule for inspection and testing procedures. </w:t>
      </w:r>
      <w:proofErr w:type="spellStart"/>
      <w:r>
        <w:rPr>
          <w:rFonts w:ascii="Times New Roman" w:hAnsi="Times New Roman"/>
          <w:bCs/>
          <w:sz w:val="22"/>
          <w:szCs w:val="22"/>
        </w:rPr>
        <w:t>Kahramanmaraş</w:t>
      </w:r>
      <w:proofErr w:type="spellEnd"/>
      <w:r>
        <w:rPr>
          <w:rFonts w:ascii="Times New Roman" w:hAnsi="Times New Roman"/>
          <w:bCs/>
          <w:sz w:val="22"/>
          <w:szCs w:val="22"/>
        </w:rPr>
        <w:t xml:space="preserve"> Metropolitan Municipality </w:t>
      </w:r>
      <w:r w:rsidRPr="00CA6417">
        <w:rPr>
          <w:rFonts w:ascii="Times New Roman" w:hAnsi="Times New Roman"/>
          <w:bCs/>
          <w:sz w:val="22"/>
          <w:szCs w:val="22"/>
        </w:rPr>
        <w:t xml:space="preserve">shall be present and shall follow the whole inspection and testing. </w:t>
      </w:r>
    </w:p>
    <w:p w14:paraId="6AA720C3" w14:textId="77777777" w:rsidR="007619D9" w:rsidRPr="00000F97" w:rsidRDefault="007619D9" w:rsidP="007619D9">
      <w:pPr>
        <w:ind w:left="720"/>
        <w:jc w:val="both"/>
        <w:rPr>
          <w:rFonts w:ascii="Times New Roman" w:hAnsi="Times New Roman"/>
          <w:bCs/>
          <w:sz w:val="22"/>
          <w:szCs w:val="22"/>
        </w:rPr>
      </w:pPr>
      <w:r w:rsidRPr="00000F97">
        <w:rPr>
          <w:rFonts w:ascii="Times New Roman" w:hAnsi="Times New Roman"/>
          <w:bCs/>
          <w:sz w:val="22"/>
          <w:szCs w:val="22"/>
        </w:rPr>
        <w:t>No Provisional Acceptance certificate can be issued by the Contacting Authority without supplies passing tests on completion.</w:t>
      </w:r>
    </w:p>
    <w:p w14:paraId="46145E94" w14:textId="01C8EE44" w:rsidR="007C6097" w:rsidRDefault="007619D9" w:rsidP="000A1D9C">
      <w:pPr>
        <w:ind w:left="709"/>
        <w:jc w:val="both"/>
        <w:rPr>
          <w:rFonts w:ascii="Times New Roman" w:hAnsi="Times New Roman"/>
          <w:b/>
          <w:sz w:val="24"/>
          <w:szCs w:val="24"/>
        </w:rPr>
      </w:pPr>
      <w:r w:rsidRPr="00000F97">
        <w:rPr>
          <w:rFonts w:ascii="Times New Roman" w:hAnsi="Times New Roman"/>
          <w:bCs/>
          <w:sz w:val="22"/>
          <w:szCs w:val="22"/>
        </w:rPr>
        <w:t>The Contracting Authority might execute</w:t>
      </w:r>
      <w:r w:rsidRPr="003E4C5E">
        <w:rPr>
          <w:rFonts w:ascii="Times New Roman" w:hAnsi="Times New Roman"/>
          <w:bCs/>
          <w:sz w:val="22"/>
          <w:szCs w:val="22"/>
        </w:rPr>
        <w:t xml:space="preserve"> controls individually and/or by means of experts to be charged by it during any stage of the installation and commissioning. The contractor shall cooperate, provide any documents requested and answer any questions posed during these controls.</w:t>
      </w:r>
    </w:p>
    <w:p w14:paraId="76351DF5" w14:textId="5930F42E" w:rsidR="0047783A" w:rsidRPr="003D6B6C" w:rsidRDefault="0047783A" w:rsidP="007619D9">
      <w:pPr>
        <w:tabs>
          <w:tab w:val="right" w:pos="9885"/>
        </w:tabs>
        <w:ind w:left="709" w:hanging="709"/>
        <w:jc w:val="both"/>
        <w:rPr>
          <w:rFonts w:ascii="Times New Roman" w:hAnsi="Times New Roman"/>
          <w:b/>
          <w:sz w:val="24"/>
          <w:szCs w:val="24"/>
        </w:rPr>
      </w:pPr>
      <w:r w:rsidRPr="003D6B6C">
        <w:rPr>
          <w:rFonts w:ascii="Times New Roman" w:hAnsi="Times New Roman"/>
          <w:b/>
          <w:sz w:val="24"/>
          <w:szCs w:val="24"/>
        </w:rPr>
        <w:t>Article 26</w:t>
      </w:r>
      <w:bookmarkEnd w:id="19"/>
      <w:r w:rsidR="000F441C">
        <w:rPr>
          <w:rFonts w:ascii="Times New Roman" w:hAnsi="Times New Roman"/>
          <w:b/>
          <w:sz w:val="24"/>
          <w:szCs w:val="24"/>
        </w:rPr>
        <w:t xml:space="preserve">   </w:t>
      </w:r>
      <w:r w:rsidR="005B0129" w:rsidRPr="003D6B6C">
        <w:rPr>
          <w:rFonts w:ascii="Times New Roman" w:hAnsi="Times New Roman"/>
          <w:b/>
          <w:sz w:val="24"/>
          <w:szCs w:val="24"/>
        </w:rPr>
        <w:t>General principles for payments</w:t>
      </w:r>
    </w:p>
    <w:p w14:paraId="6ECB3C62" w14:textId="09FCE799" w:rsidR="0047783A" w:rsidRPr="003D6B6C"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207C2B">
        <w:rPr>
          <w:rFonts w:ascii="Times New Roman" w:hAnsi="Times New Roman"/>
          <w:sz w:val="22"/>
          <w:szCs w:val="22"/>
        </w:rPr>
        <w:t xml:space="preserve"> euros. </w:t>
      </w:r>
    </w:p>
    <w:p w14:paraId="62A04E0B" w14:textId="7C81F710" w:rsidR="006D5CEE" w:rsidRDefault="00207C2B" w:rsidP="007C6097">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7D525F">
        <w:rPr>
          <w:rFonts w:ascii="Times New Roman" w:hAnsi="Times New Roman"/>
          <w:sz w:val="22"/>
          <w:szCs w:val="22"/>
        </w:rPr>
        <w:t xml:space="preserve">Ministry of Transport and Infrastructure, Directorate General for European Union Affairs and Foreign Relations, Department </w:t>
      </w:r>
      <w:r w:rsidR="007C6097">
        <w:rPr>
          <w:rFonts w:ascii="Times New Roman" w:hAnsi="Times New Roman"/>
          <w:sz w:val="22"/>
          <w:szCs w:val="22"/>
        </w:rPr>
        <w:t>for</w:t>
      </w:r>
      <w:r w:rsidRPr="007D525F">
        <w:rPr>
          <w:rFonts w:ascii="Times New Roman" w:hAnsi="Times New Roman"/>
          <w:sz w:val="22"/>
          <w:szCs w:val="22"/>
        </w:rPr>
        <w:t xml:space="preserve"> European Union Investments, with its office at </w:t>
      </w:r>
      <w:proofErr w:type="spellStart"/>
      <w:r w:rsidRPr="007D525F">
        <w:rPr>
          <w:rFonts w:ascii="Times New Roman" w:hAnsi="Times New Roman"/>
          <w:sz w:val="22"/>
          <w:szCs w:val="22"/>
        </w:rPr>
        <w:t>Hakkı</w:t>
      </w:r>
      <w:proofErr w:type="spellEnd"/>
      <w:r w:rsidRPr="007D525F">
        <w:rPr>
          <w:rFonts w:ascii="Times New Roman" w:hAnsi="Times New Roman"/>
          <w:sz w:val="22"/>
          <w:szCs w:val="22"/>
        </w:rPr>
        <w:t xml:space="preserve"> </w:t>
      </w:r>
      <w:proofErr w:type="spellStart"/>
      <w:r w:rsidRPr="007D525F">
        <w:rPr>
          <w:rFonts w:ascii="Times New Roman" w:hAnsi="Times New Roman"/>
          <w:sz w:val="22"/>
          <w:szCs w:val="22"/>
        </w:rPr>
        <w:t>Turayliç</w:t>
      </w:r>
      <w:proofErr w:type="spellEnd"/>
      <w:r w:rsidRPr="007D525F">
        <w:rPr>
          <w:rFonts w:ascii="Times New Roman" w:hAnsi="Times New Roman"/>
          <w:sz w:val="22"/>
          <w:szCs w:val="22"/>
        </w:rPr>
        <w:t xml:space="preserve"> Cad. No.5, B Blok, Kat: 10, 06490 Emek Çankaya, Ankara, Türkiye.</w:t>
      </w:r>
    </w:p>
    <w:p w14:paraId="26B6D72C" w14:textId="3F86D5AD" w:rsidR="00DE6C49" w:rsidRPr="003D6B6C" w:rsidRDefault="00DE6C49" w:rsidP="00DE6C49">
      <w:pPr>
        <w:spacing w:before="0"/>
        <w:ind w:left="1134" w:hanging="709"/>
        <w:jc w:val="both"/>
        <w:rPr>
          <w:rFonts w:ascii="Times New Roman" w:hAnsi="Times New Roman"/>
          <w:sz w:val="22"/>
          <w:szCs w:val="22"/>
        </w:rPr>
      </w:pPr>
      <w:r w:rsidRPr="00DE6C49">
        <w:rPr>
          <w:rFonts w:ascii="Times New Roman" w:hAnsi="Times New Roman"/>
          <w:sz w:val="22"/>
          <w:szCs w:val="22"/>
        </w:rPr>
        <w:t>26.6</w:t>
      </w:r>
      <w:r w:rsidRPr="00DE6C49">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780AD638" w14:textId="1743594B"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626A2A">
        <w:rPr>
          <w:rFonts w:ascii="Times New Roman" w:hAnsi="Times New Roman"/>
          <w:sz w:val="22"/>
          <w:szCs w:val="22"/>
        </w:rPr>
        <w:t>9</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1B1BE76F" w14:textId="40F36747" w:rsidR="00AC11BF" w:rsidRPr="00F77C95" w:rsidRDefault="00AC11BF" w:rsidP="00AC11BF">
      <w:pPr>
        <w:ind w:left="1560" w:hanging="426"/>
        <w:jc w:val="both"/>
        <w:rPr>
          <w:rFonts w:ascii="Times New Roman" w:hAnsi="Times New Roman"/>
          <w:sz w:val="22"/>
          <w:szCs w:val="22"/>
        </w:rPr>
      </w:pPr>
      <w:bookmarkStart w:id="20" w:name="_Toc124934913"/>
      <w:r w:rsidRPr="003D6B6C">
        <w:rPr>
          <w:rFonts w:ascii="Times New Roman" w:hAnsi="Times New Roman"/>
          <w:sz w:val="22"/>
          <w:szCs w:val="22"/>
        </w:rPr>
        <w:t>a)</w:t>
      </w:r>
      <w:r w:rsidRPr="003D6B6C">
        <w:rPr>
          <w:rFonts w:ascii="Times New Roman" w:hAnsi="Times New Roman"/>
          <w:b/>
          <w:sz w:val="22"/>
          <w:szCs w:val="22"/>
        </w:rPr>
        <w:tab/>
      </w:r>
      <w:r w:rsidRPr="00F77C95">
        <w:rPr>
          <w:rFonts w:ascii="Times New Roman" w:hAnsi="Times New Roman"/>
          <w:bCs/>
          <w:sz w:val="22"/>
          <w:szCs w:val="22"/>
        </w:rPr>
        <w:t>For the 40% pre-financing</w:t>
      </w:r>
      <w:r w:rsidRPr="00F77C95">
        <w:rPr>
          <w:rFonts w:ascii="Times New Roman" w:hAnsi="Times New Roman"/>
          <w:sz w:val="22"/>
          <w:szCs w:val="22"/>
        </w:rPr>
        <w:t xml:space="preserve">, </w:t>
      </w:r>
      <w:r w:rsidR="00F90992" w:rsidRPr="00214819">
        <w:rPr>
          <w:rFonts w:ascii="Times New Roman" w:hAnsi="Times New Roman"/>
          <w:sz w:val="22"/>
          <w:szCs w:val="22"/>
        </w:rPr>
        <w:t>the invoice</w:t>
      </w:r>
      <w:r w:rsidR="00F90992" w:rsidRPr="00214819">
        <w:rPr>
          <w:sz w:val="16"/>
        </w:rPr>
        <w:footnoteReference w:id="3"/>
      </w:r>
      <w:r w:rsidR="00F90992" w:rsidRPr="00214819">
        <w:rPr>
          <w:rFonts w:ascii="Times New Roman" w:hAnsi="Times New Roman"/>
          <w:sz w:val="16"/>
          <w:szCs w:val="22"/>
        </w:rPr>
        <w:t xml:space="preserve"> </w:t>
      </w:r>
      <w:r w:rsidR="00F90992" w:rsidRPr="00214819">
        <w:rPr>
          <w:rFonts w:ascii="Times New Roman" w:hAnsi="Times New Roman"/>
          <w:sz w:val="22"/>
          <w:szCs w:val="22"/>
        </w:rPr>
        <w:t xml:space="preserve">and </w:t>
      </w:r>
      <w:r w:rsidRPr="00F77C95">
        <w:rPr>
          <w:rFonts w:ascii="Times New Roman" w:hAnsi="Times New Roman"/>
          <w:bCs/>
          <w:sz w:val="22"/>
          <w:szCs w:val="22"/>
        </w:rPr>
        <w:t>the pre-financing guarantee</w:t>
      </w:r>
    </w:p>
    <w:p w14:paraId="18C640F2" w14:textId="6877692E" w:rsidR="00626A2A" w:rsidRPr="003D6B6C" w:rsidRDefault="00AC11BF" w:rsidP="00626A2A">
      <w:pPr>
        <w:ind w:left="1559" w:hanging="425"/>
        <w:jc w:val="both"/>
        <w:rPr>
          <w:rFonts w:ascii="Times New Roman" w:hAnsi="Times New Roman"/>
          <w:sz w:val="22"/>
          <w:szCs w:val="22"/>
        </w:rPr>
      </w:pPr>
      <w:r w:rsidRPr="00F77C95">
        <w:rPr>
          <w:rFonts w:ascii="Times New Roman" w:hAnsi="Times New Roman"/>
          <w:sz w:val="22"/>
          <w:szCs w:val="22"/>
        </w:rPr>
        <w:lastRenderedPageBreak/>
        <w:t>b)</w:t>
      </w:r>
      <w:r w:rsidRPr="00F77C95">
        <w:rPr>
          <w:rFonts w:ascii="Times New Roman" w:hAnsi="Times New Roman"/>
          <w:b/>
          <w:sz w:val="22"/>
          <w:szCs w:val="22"/>
        </w:rPr>
        <w:tab/>
      </w:r>
      <w:r w:rsidRPr="00F77C95">
        <w:rPr>
          <w:rFonts w:ascii="Times New Roman" w:hAnsi="Times New Roman"/>
          <w:bCs/>
          <w:sz w:val="22"/>
          <w:szCs w:val="22"/>
        </w:rPr>
        <w:t>For the 60 % balance</w:t>
      </w:r>
      <w:r w:rsidRPr="00F77C95">
        <w:rPr>
          <w:rFonts w:ascii="Times New Roman" w:hAnsi="Times New Roman"/>
          <w:sz w:val="22"/>
          <w:szCs w:val="22"/>
        </w:rPr>
        <w:t>,</w:t>
      </w:r>
      <w:r w:rsidRPr="00F77C95">
        <w:rPr>
          <w:rFonts w:ascii="Times New Roman" w:hAnsi="Times New Roman"/>
          <w:b/>
          <w:sz w:val="22"/>
          <w:szCs w:val="22"/>
        </w:rPr>
        <w:t xml:space="preserve"> </w:t>
      </w:r>
      <w:r w:rsidRPr="00F77C95">
        <w:rPr>
          <w:rFonts w:ascii="Times New Roman" w:hAnsi="Times New Roman"/>
          <w:sz w:val="22"/>
          <w:szCs w:val="22"/>
        </w:rPr>
        <w:t xml:space="preserve">the invoice(s) </w:t>
      </w:r>
      <w:r w:rsidR="00626A2A">
        <w:rPr>
          <w:rFonts w:ascii="Times New Roman" w:hAnsi="Times New Roman"/>
          <w:sz w:val="22"/>
          <w:szCs w:val="22"/>
        </w:rPr>
        <w:t xml:space="preserve">and </w:t>
      </w:r>
      <w:r w:rsidR="00626A2A" w:rsidRPr="003D6B6C">
        <w:rPr>
          <w:rFonts w:ascii="Times New Roman" w:hAnsi="Times New Roman"/>
          <w:sz w:val="22"/>
          <w:szCs w:val="22"/>
        </w:rPr>
        <w:t xml:space="preserve">the </w:t>
      </w:r>
      <w:r w:rsidR="00626A2A">
        <w:rPr>
          <w:rFonts w:ascii="Times New Roman" w:hAnsi="Times New Roman"/>
          <w:sz w:val="22"/>
          <w:szCs w:val="22"/>
        </w:rPr>
        <w:t xml:space="preserve">application </w:t>
      </w:r>
      <w:r w:rsidR="00626A2A" w:rsidRPr="003D6B6C">
        <w:rPr>
          <w:rFonts w:ascii="Times New Roman" w:hAnsi="Times New Roman"/>
          <w:sz w:val="22"/>
          <w:szCs w:val="22"/>
        </w:rPr>
        <w:t xml:space="preserve">for </w:t>
      </w:r>
      <w:r w:rsidR="00626A2A">
        <w:rPr>
          <w:rFonts w:ascii="Times New Roman" w:hAnsi="Times New Roman"/>
          <w:sz w:val="22"/>
          <w:szCs w:val="22"/>
        </w:rPr>
        <w:t xml:space="preserve">the certificate of </w:t>
      </w:r>
      <w:r w:rsidR="00626A2A" w:rsidRPr="003D6B6C">
        <w:rPr>
          <w:rFonts w:ascii="Times New Roman" w:hAnsi="Times New Roman"/>
          <w:sz w:val="22"/>
          <w:szCs w:val="22"/>
        </w:rPr>
        <w:t>provisional acceptance</w:t>
      </w:r>
      <w:r w:rsidR="00626A2A">
        <w:rPr>
          <w:rFonts w:ascii="Times New Roman" w:hAnsi="Times New Roman"/>
          <w:sz w:val="22"/>
          <w:szCs w:val="22"/>
        </w:rPr>
        <w:t>, and if applicable, the certificates of origin for the supplies delivered and Annex V - VAT instructions indicating the group members shares for VAT purposes.</w:t>
      </w:r>
    </w:p>
    <w:p w14:paraId="3B56A1F0" w14:textId="15558C67" w:rsidR="00F17297" w:rsidRPr="003D6B6C" w:rsidRDefault="00E52031" w:rsidP="007C6097">
      <w:pPr>
        <w:spacing w:before="0"/>
        <w:ind w:left="1134" w:hanging="709"/>
        <w:jc w:val="both"/>
        <w:rPr>
          <w:rFonts w:ascii="Times New Roman" w:hAnsi="Times New Roman"/>
          <w:sz w:val="22"/>
          <w:szCs w:val="22"/>
        </w:rPr>
      </w:pPr>
      <w:r w:rsidRPr="00E52031">
        <w:rPr>
          <w:rFonts w:ascii="Times New Roman" w:hAnsi="Times New Roman"/>
          <w:sz w:val="22"/>
          <w:szCs w:val="22"/>
        </w:rPr>
        <w:t>26.14</w:t>
      </w:r>
      <w:r>
        <w:rPr>
          <w:rFonts w:ascii="Times New Roman" w:hAnsi="Times New Roman"/>
          <w:sz w:val="22"/>
          <w:szCs w:val="22"/>
        </w:rPr>
        <w:tab/>
      </w:r>
      <w:r w:rsidRPr="00E52031">
        <w:rPr>
          <w:rFonts w:ascii="Times New Roman" w:hAnsi="Times New Roman"/>
          <w:sz w:val="22"/>
          <w:szCs w:val="22"/>
        </w:rPr>
        <w:t>Any payment may be offset against outstanding debts of any consortium member.</w:t>
      </w:r>
    </w:p>
    <w:p w14:paraId="39D67CE4" w14:textId="167D33C0"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20F8969" w14:textId="0198D43F" w:rsidR="00F86843" w:rsidRDefault="0047783A" w:rsidP="007619D9">
      <w:pPr>
        <w:autoSpaceDE w:val="0"/>
        <w:autoSpaceDN w:val="0"/>
        <w:adjustRightInd w:val="0"/>
        <w:ind w:left="1134" w:hanging="709"/>
        <w:jc w:val="both"/>
        <w:rPr>
          <w:rFonts w:ascii="Times New Roman" w:hAnsi="Times New Roman"/>
          <w:b/>
          <w:sz w:val="24"/>
          <w:szCs w:val="24"/>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1C6897">
        <w:rPr>
          <w:rFonts w:ascii="Times New Roman" w:hAnsi="Times New Roman"/>
          <w:snapToGrid/>
          <w:sz w:val="22"/>
          <w:szCs w:val="22"/>
          <w:lang w:eastAsia="en-GB"/>
        </w:rPr>
        <w:t xml:space="preserve">By derogation from Article 28.2 of the </w:t>
      </w:r>
      <w:r w:rsidR="00F60098" w:rsidRPr="001C6897">
        <w:rPr>
          <w:rFonts w:ascii="Times New Roman" w:hAnsi="Times New Roman"/>
          <w:snapToGrid/>
          <w:sz w:val="22"/>
          <w:szCs w:val="22"/>
          <w:lang w:eastAsia="en-GB"/>
        </w:rPr>
        <w:t>g</w:t>
      </w:r>
      <w:r w:rsidRPr="001C6897">
        <w:rPr>
          <w:rFonts w:ascii="Times New Roman" w:hAnsi="Times New Roman"/>
          <w:snapToGrid/>
          <w:sz w:val="22"/>
          <w:szCs w:val="22"/>
          <w:lang w:eastAsia="en-GB"/>
        </w:rPr>
        <w:t xml:space="preserve">eneral </w:t>
      </w:r>
      <w:r w:rsidR="00F60098" w:rsidRPr="001C6897">
        <w:rPr>
          <w:rFonts w:ascii="Times New Roman" w:hAnsi="Times New Roman"/>
          <w:snapToGrid/>
          <w:sz w:val="22"/>
          <w:szCs w:val="22"/>
          <w:lang w:eastAsia="en-GB"/>
        </w:rPr>
        <w:t>c</w:t>
      </w:r>
      <w:r w:rsidRPr="001C6897">
        <w:rPr>
          <w:rFonts w:ascii="Times New Roman" w:hAnsi="Times New Roman"/>
          <w:snapToGrid/>
          <w:sz w:val="22"/>
          <w:szCs w:val="22"/>
          <w:lang w:eastAsia="en-GB"/>
        </w:rPr>
        <w:t>onditions, o</w:t>
      </w:r>
      <w:r w:rsidRPr="001C6897">
        <w:rPr>
          <w:rFonts w:ascii="Times New Roman" w:hAnsi="Times New Roman"/>
          <w:sz w:val="22"/>
          <w:szCs w:val="22"/>
        </w:rPr>
        <w:t>nce the deadline laid down in Article 2</w:t>
      </w:r>
      <w:r w:rsidR="00D83918" w:rsidRPr="001C6897">
        <w:rPr>
          <w:rFonts w:ascii="Times New Roman" w:hAnsi="Times New Roman"/>
          <w:sz w:val="22"/>
          <w:szCs w:val="22"/>
        </w:rPr>
        <w:t>6.3</w:t>
      </w:r>
      <w:r w:rsidRPr="001C6897">
        <w:rPr>
          <w:rFonts w:ascii="Times New Roman" w:hAnsi="Times New Roman"/>
          <w:sz w:val="22"/>
          <w:szCs w:val="22"/>
        </w:rPr>
        <w:t xml:space="preserve"> has expired, the </w:t>
      </w:r>
      <w:r w:rsidR="00F60098" w:rsidRPr="001C6897">
        <w:rPr>
          <w:rFonts w:ascii="Times New Roman" w:hAnsi="Times New Roman"/>
          <w:sz w:val="22"/>
          <w:szCs w:val="22"/>
        </w:rPr>
        <w:t>c</w:t>
      </w:r>
      <w:r w:rsidRPr="001C6897">
        <w:rPr>
          <w:rFonts w:ascii="Times New Roman" w:hAnsi="Times New Roman"/>
          <w:sz w:val="22"/>
          <w:szCs w:val="22"/>
        </w:rPr>
        <w:t xml:space="preserve">ontractor </w:t>
      </w:r>
      <w:r w:rsidR="00551543" w:rsidRPr="001C6897">
        <w:rPr>
          <w:rFonts w:ascii="Times New Roman" w:hAnsi="Times New Roman"/>
          <w:sz w:val="22"/>
          <w:szCs w:val="22"/>
        </w:rPr>
        <w:t>sha</w:t>
      </w:r>
      <w:r w:rsidR="006D3BA1" w:rsidRPr="001C6897">
        <w:rPr>
          <w:rFonts w:ascii="Times New Roman" w:hAnsi="Times New Roman"/>
          <w:sz w:val="22"/>
          <w:szCs w:val="22"/>
        </w:rPr>
        <w:t>ll,</w:t>
      </w:r>
      <w:r w:rsidRPr="001C6897">
        <w:rPr>
          <w:rFonts w:ascii="Times New Roman" w:hAnsi="Times New Roman"/>
          <w:sz w:val="22"/>
          <w:szCs w:val="22"/>
        </w:rPr>
        <w:t xml:space="preserve"> upon demand, </w:t>
      </w:r>
      <w:r w:rsidR="006D3BA1" w:rsidRPr="001C6897">
        <w:rPr>
          <w:rFonts w:ascii="Times New Roman" w:hAnsi="Times New Roman"/>
          <w:sz w:val="22"/>
          <w:szCs w:val="22"/>
        </w:rPr>
        <w:t xml:space="preserve">be entitled to late-payment interest </w:t>
      </w:r>
      <w:r w:rsidR="00117ADA" w:rsidRPr="001C6897">
        <w:rPr>
          <w:rFonts w:ascii="Times New Roman" w:hAnsi="Times New Roman"/>
          <w:sz w:val="22"/>
          <w:szCs w:val="22"/>
        </w:rPr>
        <w:t xml:space="preserve">at the rate and for the period mentioned in the </w:t>
      </w:r>
      <w:r w:rsidR="00F60098" w:rsidRPr="001C6897">
        <w:rPr>
          <w:rFonts w:ascii="Times New Roman" w:hAnsi="Times New Roman"/>
          <w:sz w:val="22"/>
          <w:szCs w:val="22"/>
        </w:rPr>
        <w:t>g</w:t>
      </w:r>
      <w:r w:rsidR="00117ADA" w:rsidRPr="001C6897">
        <w:rPr>
          <w:rFonts w:ascii="Times New Roman" w:hAnsi="Times New Roman"/>
          <w:sz w:val="22"/>
          <w:szCs w:val="22"/>
        </w:rPr>
        <w:t xml:space="preserve">eneral </w:t>
      </w:r>
      <w:r w:rsidR="00F60098" w:rsidRPr="001C6897">
        <w:rPr>
          <w:rFonts w:ascii="Times New Roman" w:hAnsi="Times New Roman"/>
          <w:sz w:val="22"/>
          <w:szCs w:val="22"/>
        </w:rPr>
        <w:t>c</w:t>
      </w:r>
      <w:r w:rsidR="00117ADA" w:rsidRPr="001C6897">
        <w:rPr>
          <w:rFonts w:ascii="Times New Roman" w:hAnsi="Times New Roman"/>
          <w:sz w:val="22"/>
          <w:szCs w:val="22"/>
        </w:rPr>
        <w:t>onditions</w:t>
      </w:r>
      <w:r w:rsidR="006D3BA1" w:rsidRPr="001C6897">
        <w:rPr>
          <w:rFonts w:ascii="Times New Roman" w:hAnsi="Times New Roman"/>
          <w:sz w:val="22"/>
          <w:szCs w:val="22"/>
        </w:rPr>
        <w:t xml:space="preserve">. The demand must be </w:t>
      </w:r>
      <w:r w:rsidRPr="001C6897">
        <w:rPr>
          <w:rFonts w:ascii="Times New Roman" w:hAnsi="Times New Roman"/>
          <w:sz w:val="22"/>
          <w:szCs w:val="22"/>
        </w:rPr>
        <w:t>submitted within two months of receiving late payment.</w:t>
      </w:r>
    </w:p>
    <w:p w14:paraId="210201A9" w14:textId="2B4786EA"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0"/>
    </w:p>
    <w:p w14:paraId="3AC915FF" w14:textId="77777777" w:rsidR="001C6897" w:rsidRPr="003D6B6C" w:rsidRDefault="0047783A" w:rsidP="001C6897">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1C6897" w:rsidRPr="00F77C95">
        <w:rPr>
          <w:rFonts w:ascii="Times New Roman" w:hAnsi="Times New Roman"/>
          <w:sz w:val="22"/>
          <w:szCs w:val="22"/>
        </w:rPr>
        <w:t>The packaging shall become the property of the recipient subject to environmental considerations.</w:t>
      </w:r>
    </w:p>
    <w:p w14:paraId="64F05594" w14:textId="3A3EBAAF" w:rsidR="00BD1517" w:rsidRPr="003D6B6C" w:rsidRDefault="00BD1517" w:rsidP="001C6897">
      <w:pPr>
        <w:ind w:left="1134" w:hanging="709"/>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Pr="0065595F">
        <w:rPr>
          <w:rFonts w:ascii="Times New Roman" w:hAnsi="Times New Roman"/>
          <w:sz w:val="22"/>
        </w:rPr>
        <w:t xml:space="preserve">The place of acceptance of the supplies shall be </w:t>
      </w:r>
      <w:proofErr w:type="spellStart"/>
      <w:r w:rsidR="007619D9">
        <w:rPr>
          <w:rFonts w:ascii="Times New Roman" w:hAnsi="Times New Roman"/>
          <w:sz w:val="22"/>
        </w:rPr>
        <w:t>Kahramanmaraş</w:t>
      </w:r>
      <w:proofErr w:type="spellEnd"/>
      <w:r w:rsidR="001C6897" w:rsidRPr="0065595F">
        <w:rPr>
          <w:rFonts w:ascii="Times New Roman" w:hAnsi="Times New Roman"/>
          <w:sz w:val="22"/>
        </w:rPr>
        <w:t>/ Türkiye</w:t>
      </w:r>
      <w:r w:rsidRPr="0065595F">
        <w:rPr>
          <w:rFonts w:ascii="Times New Roman" w:hAnsi="Times New Roman"/>
          <w:sz w:val="22"/>
        </w:rPr>
        <w:t>.</w:t>
      </w:r>
    </w:p>
    <w:p w14:paraId="52886BA1" w14:textId="77777777" w:rsidR="001C6897" w:rsidRPr="00F70548" w:rsidRDefault="0047783A" w:rsidP="001C6897">
      <w:pPr>
        <w:ind w:left="1134" w:hanging="709"/>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22" w:name="_Toc124934914"/>
      <w:r w:rsidR="001C6897" w:rsidRPr="00F70548">
        <w:rPr>
          <w:rFonts w:ascii="Times New Roman" w:hAnsi="Times New Roman"/>
          <w:sz w:val="22"/>
          <w:szCs w:val="22"/>
        </w:rPr>
        <w:t>The documents which have to accompany the delivery include:</w:t>
      </w:r>
    </w:p>
    <w:p w14:paraId="5695DB0D" w14:textId="77777777" w:rsidR="001C6897" w:rsidRPr="00F70548" w:rsidRDefault="001C6897" w:rsidP="001C6897">
      <w:pPr>
        <w:ind w:left="1134"/>
        <w:jc w:val="both"/>
        <w:rPr>
          <w:rFonts w:ascii="Times New Roman" w:hAnsi="Times New Roman"/>
          <w:sz w:val="22"/>
          <w:szCs w:val="22"/>
        </w:rPr>
      </w:pPr>
      <w:r w:rsidRPr="00F70548">
        <w:rPr>
          <w:rFonts w:ascii="Times New Roman" w:hAnsi="Times New Roman"/>
          <w:sz w:val="22"/>
          <w:szCs w:val="22"/>
        </w:rPr>
        <w:t>a)</w:t>
      </w:r>
      <w:r w:rsidRPr="00F70548">
        <w:rPr>
          <w:rFonts w:ascii="Times New Roman" w:hAnsi="Times New Roman"/>
          <w:sz w:val="22"/>
          <w:szCs w:val="22"/>
        </w:rPr>
        <w:tab/>
        <w:t>A detailed packing list identifying the contents of each package</w:t>
      </w:r>
      <w:r>
        <w:rPr>
          <w:rFonts w:ascii="Times New Roman" w:hAnsi="Times New Roman"/>
          <w:sz w:val="22"/>
          <w:szCs w:val="22"/>
        </w:rPr>
        <w:t>.</w:t>
      </w:r>
    </w:p>
    <w:p w14:paraId="4E015A36" w14:textId="2A87CD74" w:rsidR="001C6897" w:rsidRPr="00B75740" w:rsidRDefault="001C6897" w:rsidP="001C6897">
      <w:pPr>
        <w:ind w:left="1134"/>
        <w:jc w:val="both"/>
        <w:rPr>
          <w:rFonts w:ascii="Times New Roman" w:hAnsi="Times New Roman"/>
          <w:sz w:val="22"/>
          <w:szCs w:val="22"/>
        </w:rPr>
      </w:pPr>
      <w:r w:rsidRPr="00F70548">
        <w:rPr>
          <w:rFonts w:ascii="Times New Roman" w:hAnsi="Times New Roman"/>
          <w:sz w:val="22"/>
          <w:szCs w:val="22"/>
        </w:rPr>
        <w:t>b)</w:t>
      </w:r>
      <w:r w:rsidRPr="00F70548">
        <w:rPr>
          <w:rFonts w:ascii="Times New Roman" w:hAnsi="Times New Roman"/>
          <w:sz w:val="22"/>
          <w:szCs w:val="22"/>
        </w:rPr>
        <w:tab/>
      </w:r>
      <w:r>
        <w:rPr>
          <w:rFonts w:ascii="Times New Roman" w:hAnsi="Times New Roman"/>
          <w:sz w:val="22"/>
          <w:szCs w:val="22"/>
        </w:rPr>
        <w:t>T</w:t>
      </w:r>
      <w:r w:rsidRPr="001E19EF">
        <w:rPr>
          <w:rFonts w:ascii="Times New Roman" w:hAnsi="Times New Roman"/>
          <w:sz w:val="22"/>
          <w:szCs w:val="22"/>
        </w:rPr>
        <w:t>ransport document (e.g. bill of lading, airway bill/CMR/seaway bill, commercial invoice, packaging list, insurance proof/certificate, delivery notes (as applicable) which includes the name and address of the consignor and consignee, the description of the goods to be transported, the quantity for each of the commodities, and the commodity class and rate</w:t>
      </w:r>
      <w:r>
        <w:rPr>
          <w:rFonts w:ascii="Times New Roman" w:hAnsi="Times New Roman"/>
          <w:sz w:val="22"/>
          <w:szCs w:val="22"/>
        </w:rPr>
        <w:t>.</w:t>
      </w:r>
    </w:p>
    <w:p w14:paraId="24EEB750" w14:textId="77777777" w:rsidR="001C6897" w:rsidRDefault="001C6897" w:rsidP="001C6897">
      <w:pPr>
        <w:ind w:left="1134"/>
        <w:jc w:val="both"/>
        <w:rPr>
          <w:rFonts w:ascii="Times New Roman" w:hAnsi="Times New Roman"/>
          <w:sz w:val="22"/>
          <w:szCs w:val="22"/>
        </w:rPr>
      </w:pPr>
      <w:r w:rsidRPr="00F70548">
        <w:rPr>
          <w:rFonts w:ascii="Times New Roman" w:hAnsi="Times New Roman"/>
          <w:sz w:val="22"/>
          <w:szCs w:val="22"/>
        </w:rPr>
        <w:t>c)</w:t>
      </w:r>
      <w:r w:rsidRPr="00F70548">
        <w:rPr>
          <w:rFonts w:ascii="Times New Roman" w:hAnsi="Times New Roman"/>
          <w:sz w:val="22"/>
          <w:szCs w:val="22"/>
        </w:rPr>
        <w:tab/>
      </w:r>
      <w:proofErr w:type="gramStart"/>
      <w:r w:rsidRPr="001E19EF">
        <w:rPr>
          <w:rFonts w:ascii="Times New Roman" w:hAnsi="Times New Roman"/>
          <w:sz w:val="22"/>
          <w:szCs w:val="22"/>
        </w:rPr>
        <w:t>Technical</w:t>
      </w:r>
      <w:proofErr w:type="gramEnd"/>
      <w:r w:rsidRPr="001E19EF">
        <w:rPr>
          <w:rFonts w:ascii="Times New Roman" w:hAnsi="Times New Roman"/>
          <w:sz w:val="22"/>
          <w:szCs w:val="22"/>
        </w:rPr>
        <w:t xml:space="preserve"> documentation/operating instructions and all necessary documents such as operating and maintenance manuals, drawings, material certificates, conformity certificates, certificates of origin, as specified in the Tech</w:t>
      </w:r>
      <w:r>
        <w:rPr>
          <w:rFonts w:ascii="Times New Roman" w:hAnsi="Times New Roman"/>
          <w:sz w:val="22"/>
          <w:szCs w:val="22"/>
        </w:rPr>
        <w:t xml:space="preserve">nical </w:t>
      </w:r>
      <w:r w:rsidRPr="00C75FFF">
        <w:rPr>
          <w:rFonts w:ascii="Times New Roman" w:hAnsi="Times New Roman"/>
          <w:sz w:val="22"/>
          <w:szCs w:val="22"/>
        </w:rPr>
        <w:t>Specifications (Annex II).</w:t>
      </w:r>
    </w:p>
    <w:p w14:paraId="74FB4EE7" w14:textId="77777777" w:rsidR="001C6897" w:rsidRPr="00F70548" w:rsidRDefault="001C6897" w:rsidP="001C6897">
      <w:pPr>
        <w:ind w:left="1134"/>
        <w:jc w:val="both"/>
        <w:rPr>
          <w:rFonts w:ascii="Times New Roman" w:hAnsi="Times New Roman"/>
          <w:sz w:val="22"/>
          <w:szCs w:val="22"/>
        </w:rPr>
      </w:pPr>
      <w:r w:rsidRPr="001E19EF">
        <w:rPr>
          <w:rFonts w:ascii="Times New Roman" w:hAnsi="Times New Roman"/>
          <w:sz w:val="22"/>
          <w:szCs w:val="22"/>
        </w:rPr>
        <w:t>d) Statement drawn up by the Contractor which must attest that the delivered goods are new, in working order and compliant with all technical specifications of the Tender dossier. This statement must use the following wording</w:t>
      </w:r>
      <w:r w:rsidRPr="00F70548">
        <w:rPr>
          <w:rFonts w:ascii="Times New Roman" w:hAnsi="Times New Roman"/>
          <w:sz w:val="22"/>
          <w:szCs w:val="22"/>
        </w:rPr>
        <w:t>:</w:t>
      </w:r>
    </w:p>
    <w:p w14:paraId="680EE1C3" w14:textId="77777777" w:rsidR="001C6897" w:rsidRPr="00F70548" w:rsidRDefault="001C6897" w:rsidP="001C6897">
      <w:pPr>
        <w:ind w:left="1134" w:hanging="1134"/>
        <w:jc w:val="both"/>
        <w:rPr>
          <w:rFonts w:ascii="Times New Roman" w:hAnsi="Times New Roman"/>
          <w:sz w:val="22"/>
          <w:szCs w:val="22"/>
        </w:rPr>
      </w:pPr>
      <w:r w:rsidRPr="00F70548">
        <w:rPr>
          <w:rFonts w:ascii="Times New Roman" w:hAnsi="Times New Roman"/>
          <w:sz w:val="22"/>
          <w:szCs w:val="22"/>
        </w:rPr>
        <w:tab/>
        <w:t>“&lt;Full official name of Contractor&gt; attests that the delivered goods are new, in working order and compliant with all technical specifications of the Tender dossier.”</w:t>
      </w:r>
    </w:p>
    <w:p w14:paraId="1DF7DAC5" w14:textId="77777777" w:rsidR="001C6897" w:rsidRPr="00F70548" w:rsidRDefault="001C6897" w:rsidP="001C6897">
      <w:pPr>
        <w:ind w:left="1134"/>
        <w:jc w:val="both"/>
        <w:rPr>
          <w:rFonts w:ascii="Times New Roman" w:hAnsi="Times New Roman"/>
          <w:sz w:val="22"/>
          <w:szCs w:val="22"/>
        </w:rPr>
      </w:pPr>
      <w:r w:rsidRPr="00F70548">
        <w:rPr>
          <w:rFonts w:ascii="Times New Roman" w:hAnsi="Times New Roman"/>
          <w:sz w:val="22"/>
          <w:szCs w:val="22"/>
        </w:rPr>
        <w:t>A copy of signed Statement must be provided to the Contracting Authority.</w:t>
      </w:r>
    </w:p>
    <w:p w14:paraId="489084BE" w14:textId="77777777" w:rsidR="001C6897" w:rsidRPr="00F70548" w:rsidRDefault="001C6897" w:rsidP="001C6897">
      <w:pPr>
        <w:ind w:left="1134"/>
        <w:jc w:val="both"/>
        <w:rPr>
          <w:rFonts w:ascii="Times New Roman" w:hAnsi="Times New Roman"/>
          <w:sz w:val="22"/>
          <w:szCs w:val="22"/>
        </w:rPr>
      </w:pPr>
      <w:r w:rsidRPr="00F70548">
        <w:rPr>
          <w:rFonts w:ascii="Times New Roman" w:hAnsi="Times New Roman"/>
          <w:sz w:val="22"/>
          <w:szCs w:val="22"/>
        </w:rPr>
        <w:t>Each case/package shall be clearly marked on the sides with “Handle with care”, “Right side up”, etc. together with international symbols according to the different characteristics and requirements for transportation, loading, unloading of the supplies if necessary. In case packing includes waterproof barriers, packages shall bear the mention: “DO NOT OPEN – WATERPROOF BARRIER/ LÜTFEN AÇMAYINIZ – SU YALITIM BARİYERİ” in red characters.</w:t>
      </w:r>
    </w:p>
    <w:p w14:paraId="57E4793A" w14:textId="3F573612" w:rsidR="00F17297" w:rsidRDefault="001C6897" w:rsidP="00F86843">
      <w:pPr>
        <w:ind w:left="1134"/>
        <w:jc w:val="both"/>
        <w:rPr>
          <w:rFonts w:ascii="Times New Roman" w:hAnsi="Times New Roman"/>
          <w:b/>
          <w:sz w:val="22"/>
          <w:szCs w:val="22"/>
        </w:rPr>
      </w:pPr>
      <w:r w:rsidRPr="00F70548">
        <w:rPr>
          <w:rFonts w:ascii="Times New Roman" w:hAnsi="Times New Roman"/>
          <w:sz w:val="22"/>
          <w:szCs w:val="22"/>
        </w:rPr>
        <w:t>Packages shall identify, through respective markings on the outside and/or possibly in conjunction with an accompanying packing slip, the content of the package. A packing slip in the inside of the package shall identify the content of the package.</w:t>
      </w:r>
    </w:p>
    <w:p w14:paraId="42CC9802" w14:textId="43E964DA" w:rsidR="001C6897" w:rsidRDefault="001C6897" w:rsidP="001C6897">
      <w:pPr>
        <w:spacing w:before="60"/>
        <w:ind w:left="1134"/>
        <w:jc w:val="both"/>
        <w:rPr>
          <w:rFonts w:ascii="Times New Roman" w:hAnsi="Times New Roman"/>
          <w:b/>
          <w:sz w:val="22"/>
          <w:szCs w:val="22"/>
        </w:rPr>
      </w:pPr>
      <w:r w:rsidRPr="00C23080">
        <w:rPr>
          <w:rFonts w:ascii="Times New Roman" w:hAnsi="Times New Roman"/>
          <w:b/>
          <w:sz w:val="22"/>
          <w:szCs w:val="22"/>
        </w:rPr>
        <w:lastRenderedPageBreak/>
        <w:t>The package should bear the following identification:</w:t>
      </w:r>
      <w:r w:rsidRPr="00C23080">
        <w:rPr>
          <w:rFonts w:ascii="Times New Roman" w:hAnsi="Times New Roman"/>
          <w:b/>
          <w:sz w:val="22"/>
          <w:szCs w:val="22"/>
        </w:rPr>
        <w:tab/>
      </w:r>
    </w:p>
    <w:p w14:paraId="3DF0605D" w14:textId="736A5B86" w:rsidR="001C6897" w:rsidRDefault="0032422A" w:rsidP="0065595F">
      <w:pPr>
        <w:spacing w:before="60" w:after="0"/>
        <w:ind w:left="1134"/>
        <w:jc w:val="center"/>
        <w:rPr>
          <w:rFonts w:ascii="Times New Roman" w:hAnsi="Times New Roman"/>
          <w:b/>
          <w:sz w:val="22"/>
          <w:szCs w:val="22"/>
        </w:rPr>
      </w:pPr>
      <w:r>
        <w:rPr>
          <w:noProof/>
          <w:snapToGrid/>
          <w:lang w:val="tr-TR" w:eastAsia="tr-TR"/>
        </w:rPr>
        <w:drawing>
          <wp:inline distT="0" distB="0" distL="0" distR="0" wp14:anchorId="4E04AA59" wp14:editId="39EDD0A7">
            <wp:extent cx="2575560" cy="1061720"/>
            <wp:effectExtent l="0" t="0" r="0" b="0"/>
            <wp:docPr id="1"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5560" cy="1061720"/>
                    </a:xfrm>
                    <a:prstGeom prst="rect">
                      <a:avLst/>
                    </a:prstGeom>
                    <a:noFill/>
                    <a:ln>
                      <a:noFill/>
                    </a:ln>
                  </pic:spPr>
                </pic:pic>
              </a:graphicData>
            </a:graphic>
          </wp:inline>
        </w:drawing>
      </w:r>
    </w:p>
    <w:p w14:paraId="49ADAF3E" w14:textId="32A10809" w:rsidR="001C6897" w:rsidRDefault="0032422A" w:rsidP="001C6897">
      <w:pPr>
        <w:spacing w:before="60"/>
        <w:ind w:left="1134"/>
        <w:jc w:val="center"/>
        <w:rPr>
          <w:rFonts w:ascii="Times New Roman" w:hAnsi="Times New Roman"/>
          <w:snapToGrid/>
          <w:sz w:val="22"/>
          <w:szCs w:val="22"/>
        </w:rPr>
      </w:pPr>
      <w:r>
        <w:rPr>
          <w:noProof/>
        </w:rPr>
        <mc:AlternateContent>
          <mc:Choice Requires="wps">
            <w:drawing>
              <wp:anchor distT="45720" distB="45720" distL="114300" distR="114300" simplePos="0" relativeHeight="251658752" behindDoc="0" locked="0" layoutInCell="1" allowOverlap="1" wp14:anchorId="3B650CE5" wp14:editId="4B5FBB4B">
                <wp:simplePos x="0" y="0"/>
                <wp:positionH relativeFrom="column">
                  <wp:posOffset>673100</wp:posOffset>
                </wp:positionH>
                <wp:positionV relativeFrom="paragraph">
                  <wp:posOffset>92075</wp:posOffset>
                </wp:positionV>
                <wp:extent cx="2686050" cy="342900"/>
                <wp:effectExtent l="0" t="0" r="0" b="0"/>
                <wp:wrapSquare wrapText="bothSides"/>
                <wp:docPr id="8" name="Metin Kutusu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342900"/>
                        </a:xfrm>
                        <a:prstGeom prst="rect">
                          <a:avLst/>
                        </a:prstGeom>
                        <a:solidFill>
                          <a:srgbClr val="FFFFFF"/>
                        </a:solidFill>
                        <a:ln w="9525">
                          <a:noFill/>
                          <a:miter lim="800000"/>
                          <a:headEnd/>
                          <a:tailEnd/>
                        </a:ln>
                      </wps:spPr>
                      <wps:txbx>
                        <w:txbxContent>
                          <w:p w14:paraId="0654308B" w14:textId="77777777" w:rsidR="001C6897" w:rsidRDefault="001C6897" w:rsidP="001C6897">
                            <w:pPr>
                              <w:spacing w:before="0" w:after="0"/>
                              <w:jc w:val="center"/>
                              <w:rPr>
                                <w:rFonts w:ascii="Times New Roman" w:hAnsi="Times New Roman"/>
                                <w:sz w:val="16"/>
                              </w:rPr>
                            </w:pPr>
                            <w:r>
                              <w:rPr>
                                <w:rFonts w:ascii="Times New Roman" w:hAnsi="Times New Roman"/>
                                <w:sz w:val="16"/>
                              </w:rPr>
                              <w:t>Co-funded by the European Union</w:t>
                            </w:r>
                          </w:p>
                          <w:p w14:paraId="66D6EC35" w14:textId="77777777" w:rsidR="001C6897" w:rsidRDefault="001C6897" w:rsidP="001C6897">
                            <w:pPr>
                              <w:spacing w:before="0" w:after="0"/>
                              <w:jc w:val="center"/>
                              <w:rPr>
                                <w:rFonts w:ascii="Times New Roman" w:hAnsi="Times New Roman"/>
                                <w:sz w:val="16"/>
                                <w:lang w:val="tr-TR"/>
                              </w:rPr>
                            </w:pPr>
                            <w:r>
                              <w:rPr>
                                <w:rFonts w:ascii="Times New Roman" w:hAnsi="Times New Roman"/>
                                <w:sz w:val="16"/>
                                <w:lang w:val="tr-TR"/>
                              </w:rPr>
                              <w:t>Avrupa Birliği tarafından eş-finanse edilmektedir.</w:t>
                            </w:r>
                          </w:p>
                          <w:p w14:paraId="5E30916E" w14:textId="77777777" w:rsidR="001C6897" w:rsidRDefault="001C6897" w:rsidP="001C689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650CE5" id="Metin Kutusu 8" o:spid="_x0000_s1027" type="#_x0000_t202" style="position:absolute;left:0;text-align:left;margin-left:53pt;margin-top:7.25pt;width:211.5pt;height:27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" stroked="f">
                <v:textbox>
                  <w:txbxContent>
                    <w:p w14:paraId="0654308B" w14:textId="77777777" w:rsidR="001C6897" w:rsidRDefault="001C6897" w:rsidP="001C6897">
                      <w:pPr>
                        <w:spacing w:before="0" w:after="0"/>
                        <w:jc w:val="center"/>
                        <w:rPr>
                          <w:rFonts w:ascii="Times New Roman" w:hAnsi="Times New Roman"/>
                          <w:sz w:val="16"/>
                        </w:rPr>
                      </w:pPr>
                      <w:r>
                        <w:rPr>
                          <w:rFonts w:ascii="Times New Roman" w:hAnsi="Times New Roman"/>
                          <w:sz w:val="16"/>
                        </w:rPr>
                        <w:t>Co-funded by the European Union</w:t>
                      </w:r>
                    </w:p>
                    <w:p w14:paraId="66D6EC35" w14:textId="77777777" w:rsidR="001C6897" w:rsidRDefault="001C6897" w:rsidP="001C6897">
                      <w:pPr>
                        <w:spacing w:before="0" w:after="0"/>
                        <w:jc w:val="center"/>
                        <w:rPr>
                          <w:rFonts w:ascii="Times New Roman" w:hAnsi="Times New Roman"/>
                          <w:sz w:val="16"/>
                          <w:lang w:val="tr-TR"/>
                        </w:rPr>
                      </w:pPr>
                      <w:r>
                        <w:rPr>
                          <w:rFonts w:ascii="Times New Roman" w:hAnsi="Times New Roman"/>
                          <w:sz w:val="16"/>
                          <w:lang w:val="tr-TR"/>
                        </w:rPr>
                        <w:t>Avrupa Birliği tarafından eş-finanse edilmektedir.</w:t>
                      </w:r>
                    </w:p>
                    <w:p w14:paraId="5E30916E" w14:textId="77777777" w:rsidR="001C6897" w:rsidRDefault="001C6897" w:rsidP="001C6897">
                      <w:pPr>
                        <w:jc w:val="center"/>
                      </w:pPr>
                    </w:p>
                  </w:txbxContent>
                </v:textbox>
                <w10:wrap type="square"/>
              </v:shape>
            </w:pict>
          </mc:Fallback>
        </mc:AlternateContent>
      </w:r>
    </w:p>
    <w:p w14:paraId="2728C719" w14:textId="77777777" w:rsidR="001C6897" w:rsidRDefault="001C6897" w:rsidP="001C6897">
      <w:pPr>
        <w:spacing w:before="60"/>
        <w:ind w:left="1134"/>
        <w:jc w:val="both"/>
        <w:rPr>
          <w:rFonts w:ascii="Times New Roman" w:hAnsi="Times New Roman"/>
          <w:sz w:val="22"/>
          <w:szCs w:val="22"/>
        </w:rPr>
      </w:pPr>
    </w:p>
    <w:p w14:paraId="62C18DF6" w14:textId="77777777" w:rsidR="00F86843" w:rsidRDefault="00F86843" w:rsidP="001C6897">
      <w:pPr>
        <w:spacing w:before="60" w:after="0"/>
        <w:ind w:left="1134"/>
        <w:jc w:val="both"/>
        <w:rPr>
          <w:rFonts w:ascii="Times New Roman" w:hAnsi="Times New Roman"/>
          <w:b/>
          <w:sz w:val="22"/>
          <w:szCs w:val="22"/>
        </w:rPr>
      </w:pPr>
    </w:p>
    <w:p w14:paraId="626AE14C" w14:textId="23A2596D" w:rsidR="001C6897" w:rsidRPr="00F70548" w:rsidRDefault="001C6897" w:rsidP="00CA64BB">
      <w:pPr>
        <w:spacing w:before="60" w:after="0"/>
        <w:ind w:left="1134"/>
        <w:jc w:val="both"/>
        <w:rPr>
          <w:rFonts w:ascii="Times New Roman" w:hAnsi="Times New Roman"/>
          <w:sz w:val="22"/>
          <w:szCs w:val="22"/>
        </w:rPr>
      </w:pPr>
      <w:r w:rsidRPr="00C23080">
        <w:rPr>
          <w:rFonts w:ascii="Times New Roman" w:hAnsi="Times New Roman"/>
          <w:b/>
          <w:sz w:val="22"/>
          <w:szCs w:val="22"/>
        </w:rPr>
        <w:t>Contract Title:</w:t>
      </w:r>
      <w:r w:rsidRPr="00F70548">
        <w:rPr>
          <w:rFonts w:ascii="Times New Roman" w:hAnsi="Times New Roman"/>
          <w:sz w:val="22"/>
          <w:szCs w:val="22"/>
        </w:rPr>
        <w:t xml:space="preserve"> </w:t>
      </w:r>
      <w:r w:rsidR="00CA64BB" w:rsidRPr="00CA64BB">
        <w:rPr>
          <w:rFonts w:ascii="Times New Roman" w:hAnsi="Times New Roman"/>
          <w:sz w:val="22"/>
          <w:szCs w:val="22"/>
        </w:rPr>
        <w:t>Post-Earthquake Transport Recovery Action</w:t>
      </w:r>
      <w:r w:rsidR="00CA64BB">
        <w:rPr>
          <w:rFonts w:ascii="Times New Roman" w:hAnsi="Times New Roman"/>
          <w:sz w:val="22"/>
          <w:szCs w:val="22"/>
        </w:rPr>
        <w:t xml:space="preserve"> </w:t>
      </w:r>
      <w:r w:rsidR="00CA64BB" w:rsidRPr="00CA64BB">
        <w:rPr>
          <w:rFonts w:ascii="Times New Roman" w:hAnsi="Times New Roman"/>
          <w:sz w:val="22"/>
          <w:szCs w:val="22"/>
        </w:rPr>
        <w:t xml:space="preserve">(PETRA) in </w:t>
      </w:r>
      <w:proofErr w:type="spellStart"/>
      <w:r w:rsidR="00CA64BB" w:rsidRPr="00CA64BB">
        <w:rPr>
          <w:rFonts w:ascii="Times New Roman" w:hAnsi="Times New Roman"/>
          <w:sz w:val="22"/>
          <w:szCs w:val="22"/>
        </w:rPr>
        <w:t>Kahramanmara</w:t>
      </w:r>
      <w:r w:rsidR="00C86004">
        <w:rPr>
          <w:rFonts w:ascii="Times New Roman" w:hAnsi="Times New Roman"/>
          <w:sz w:val="22"/>
          <w:szCs w:val="22"/>
        </w:rPr>
        <w:t>ş</w:t>
      </w:r>
      <w:proofErr w:type="spellEnd"/>
      <w:r w:rsidR="00C86004">
        <w:rPr>
          <w:rFonts w:ascii="Times New Roman" w:hAnsi="Times New Roman"/>
          <w:sz w:val="22"/>
          <w:szCs w:val="22"/>
        </w:rPr>
        <w:t xml:space="preserve"> </w:t>
      </w:r>
      <w:r w:rsidR="000B42BC">
        <w:rPr>
          <w:rFonts w:ascii="Times New Roman" w:hAnsi="Times New Roman"/>
          <w:sz w:val="22"/>
          <w:szCs w:val="22"/>
        </w:rPr>
        <w:t xml:space="preserve">- </w:t>
      </w:r>
      <w:r w:rsidR="00CA64BB" w:rsidRPr="00CA64BB">
        <w:rPr>
          <w:rFonts w:ascii="Times New Roman" w:hAnsi="Times New Roman"/>
          <w:sz w:val="22"/>
          <w:szCs w:val="22"/>
        </w:rPr>
        <w:t>Lot 2 (TR14SPL305)</w:t>
      </w:r>
    </w:p>
    <w:p w14:paraId="3A920BDE" w14:textId="283F3E69" w:rsidR="001B1C76" w:rsidRDefault="001C6897" w:rsidP="001C6897">
      <w:pPr>
        <w:spacing w:before="60" w:after="0"/>
        <w:ind w:left="1134"/>
        <w:jc w:val="both"/>
        <w:rPr>
          <w:rFonts w:ascii="Times New Roman" w:hAnsi="Times New Roman"/>
          <w:sz w:val="22"/>
        </w:rPr>
      </w:pPr>
      <w:r w:rsidRPr="00C23080">
        <w:rPr>
          <w:rFonts w:ascii="Times New Roman" w:hAnsi="Times New Roman"/>
          <w:b/>
          <w:sz w:val="22"/>
          <w:szCs w:val="22"/>
        </w:rPr>
        <w:t>Identification number:</w:t>
      </w:r>
      <w:r w:rsidRPr="00F70548">
        <w:rPr>
          <w:rFonts w:ascii="Times New Roman" w:hAnsi="Times New Roman"/>
          <w:sz w:val="22"/>
          <w:szCs w:val="22"/>
        </w:rPr>
        <w:t xml:space="preserve"> </w:t>
      </w:r>
      <w:r w:rsidR="00A91C81" w:rsidRPr="00A91C81">
        <w:rPr>
          <w:rFonts w:ascii="Times New Roman" w:hAnsi="Times New Roman"/>
          <w:sz w:val="22"/>
        </w:rPr>
        <w:t>EC-ENEST/ANK/2025/EA-LOP/0176</w:t>
      </w:r>
    </w:p>
    <w:p w14:paraId="1B7A4300" w14:textId="74B7645C" w:rsidR="001C6897" w:rsidRPr="00F70548" w:rsidRDefault="001C6897" w:rsidP="001C6897">
      <w:pPr>
        <w:spacing w:before="60" w:after="0"/>
        <w:ind w:left="1134"/>
        <w:jc w:val="both"/>
        <w:rPr>
          <w:rFonts w:ascii="Times New Roman" w:hAnsi="Times New Roman"/>
          <w:sz w:val="22"/>
          <w:szCs w:val="22"/>
        </w:rPr>
      </w:pPr>
      <w:r w:rsidRPr="00C23080">
        <w:rPr>
          <w:rFonts w:ascii="Times New Roman" w:hAnsi="Times New Roman"/>
          <w:b/>
          <w:sz w:val="22"/>
          <w:szCs w:val="22"/>
        </w:rPr>
        <w:t>Visibility mark:</w:t>
      </w:r>
      <w:r w:rsidRPr="00F70548">
        <w:rPr>
          <w:rFonts w:ascii="Times New Roman" w:hAnsi="Times New Roman"/>
          <w:sz w:val="22"/>
          <w:szCs w:val="22"/>
        </w:rPr>
        <w:t xml:space="preserve"> Supported by the European Union</w:t>
      </w:r>
    </w:p>
    <w:p w14:paraId="26CEE475" w14:textId="77777777" w:rsidR="001C6897" w:rsidRPr="00F70548" w:rsidRDefault="001C6897" w:rsidP="001C6897">
      <w:pPr>
        <w:spacing w:before="60" w:after="0"/>
        <w:ind w:left="1134"/>
        <w:jc w:val="both"/>
        <w:rPr>
          <w:rFonts w:ascii="Times New Roman" w:hAnsi="Times New Roman"/>
          <w:sz w:val="22"/>
          <w:szCs w:val="22"/>
        </w:rPr>
      </w:pPr>
      <w:r w:rsidRPr="00F70548">
        <w:rPr>
          <w:rFonts w:ascii="Times New Roman" w:hAnsi="Times New Roman"/>
          <w:sz w:val="22"/>
          <w:szCs w:val="22"/>
        </w:rPr>
        <w:t>(Number and Description of Item in accordance with the Technical Specification)</w:t>
      </w:r>
    </w:p>
    <w:p w14:paraId="6A1F20C3" w14:textId="77777777" w:rsidR="001C6897" w:rsidRPr="003D6B6C" w:rsidRDefault="001C6897" w:rsidP="001C6897">
      <w:pPr>
        <w:ind w:left="1134"/>
        <w:jc w:val="both"/>
        <w:rPr>
          <w:rFonts w:ascii="Times New Roman" w:hAnsi="Times New Roman"/>
          <w:sz w:val="22"/>
          <w:szCs w:val="22"/>
        </w:rPr>
      </w:pPr>
      <w:r w:rsidRPr="00F70548">
        <w:rPr>
          <w:rFonts w:ascii="Times New Roman" w:hAnsi="Times New Roman"/>
          <w:sz w:val="22"/>
          <w:szCs w:val="22"/>
        </w:rPr>
        <w:t>(Address of the place of delivery)</w:t>
      </w:r>
    </w:p>
    <w:p w14:paraId="7C1E7DCB" w14:textId="4738C4E3" w:rsidR="0047783A" w:rsidRPr="003D6B6C" w:rsidRDefault="0047783A" w:rsidP="001C6897">
      <w:pPr>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14:paraId="1D8F1B49" w14:textId="7E3579B8" w:rsidR="00DF76D7" w:rsidRPr="00F77C95" w:rsidRDefault="00DF76D7" w:rsidP="007619D9">
      <w:pPr>
        <w:ind w:left="720"/>
        <w:jc w:val="both"/>
        <w:rPr>
          <w:rFonts w:ascii="Times New Roman" w:hAnsi="Times New Roman"/>
          <w:sz w:val="22"/>
          <w:szCs w:val="22"/>
        </w:rPr>
      </w:pPr>
      <w:bookmarkStart w:id="23"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77C95">
        <w:rPr>
          <w:rFonts w:ascii="Times New Roman" w:hAnsi="Times New Roman"/>
          <w:sz w:val="22"/>
          <w:szCs w:val="22"/>
        </w:rPr>
        <w:t xml:space="preserve">The contractor shall deliver to the Contracting Authority, together with the request for provisional acceptance, </w:t>
      </w:r>
      <w:r w:rsidR="009A5CF3" w:rsidRPr="00F77C95">
        <w:rPr>
          <w:rFonts w:ascii="Times New Roman" w:hAnsi="Times New Roman"/>
          <w:sz w:val="22"/>
          <w:szCs w:val="22"/>
        </w:rPr>
        <w:t>3</w:t>
      </w:r>
      <w:r w:rsidR="007D2072">
        <w:rPr>
          <w:rFonts w:ascii="Times New Roman" w:hAnsi="Times New Roman"/>
          <w:sz w:val="22"/>
          <w:szCs w:val="22"/>
        </w:rPr>
        <w:t xml:space="preserve"> (</w:t>
      </w:r>
      <w:r w:rsidR="009A5CF3">
        <w:rPr>
          <w:rFonts w:ascii="Times New Roman" w:hAnsi="Times New Roman"/>
          <w:sz w:val="22"/>
          <w:szCs w:val="22"/>
        </w:rPr>
        <w:t>three</w:t>
      </w:r>
      <w:r w:rsidR="007D2072">
        <w:rPr>
          <w:rFonts w:ascii="Times New Roman" w:hAnsi="Times New Roman"/>
          <w:sz w:val="22"/>
          <w:szCs w:val="22"/>
        </w:rPr>
        <w:t>)</w:t>
      </w:r>
      <w:r w:rsidRPr="00F77C95">
        <w:rPr>
          <w:rFonts w:ascii="Times New Roman" w:hAnsi="Times New Roman"/>
          <w:sz w:val="22"/>
          <w:szCs w:val="22"/>
        </w:rPr>
        <w:t xml:space="preserve"> copies of the Provisional Acceptance Certificate signed by the contractor, as well as the Certificate of Origin for all delivered supplies.</w:t>
      </w:r>
    </w:p>
    <w:p w14:paraId="16166FC7" w14:textId="77777777" w:rsidR="00DF76D7" w:rsidRPr="003D6B6C" w:rsidRDefault="00DF76D7" w:rsidP="007619D9">
      <w:pPr>
        <w:ind w:left="720"/>
        <w:jc w:val="both"/>
        <w:rPr>
          <w:rFonts w:ascii="Times New Roman" w:hAnsi="Times New Roman"/>
          <w:sz w:val="22"/>
          <w:szCs w:val="22"/>
        </w:rPr>
      </w:pPr>
      <w:r w:rsidRPr="00F77C95">
        <w:rPr>
          <w:rFonts w:ascii="Times New Roman" w:hAnsi="Times New Roman"/>
          <w:sz w:val="22"/>
          <w:szCs w:val="22"/>
        </w:rPr>
        <w:t>The request for provisional acceptance to the Contracting Authority should take place before the deadline specified in Programme of implementation of tasks. The Provisional Acceptance Certificate shall be issued by the Contracting Authority as stipulated in Article 31 of the General Conditions.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00177A94" w:rsidRPr="003D6B6C">
        <w:rPr>
          <w:rFonts w:ascii="Times New Roman" w:hAnsi="Times New Roman"/>
          <w:b/>
          <w:sz w:val="24"/>
          <w:szCs w:val="24"/>
        </w:rPr>
        <w:t xml:space="preserve"> obligations</w:t>
      </w:r>
    </w:p>
    <w:p w14:paraId="68495CF6" w14:textId="2FDA01BC" w:rsidR="00DF76D7" w:rsidRDefault="00177A94" w:rsidP="00DF76D7">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DF76D7" w:rsidRPr="004E7A79">
        <w:rPr>
          <w:rFonts w:ascii="Times New Roman" w:hAnsi="Times New Roman"/>
          <w:sz w:val="22"/>
          <w:szCs w:val="22"/>
        </w:rPr>
        <w:t>The goods shall be accompanied by a warranty pursuant to the provisions of the 07/11/2013 dated and 6502 numbered Turkish Law on Consumer Rights and relevant regulations (if applicable).</w:t>
      </w:r>
    </w:p>
    <w:p w14:paraId="50584ED5" w14:textId="77777777" w:rsidR="00DF76D7" w:rsidRPr="004E7A79" w:rsidRDefault="00DF76D7" w:rsidP="00DF76D7">
      <w:pPr>
        <w:widowControl w:val="0"/>
        <w:ind w:left="1134"/>
        <w:jc w:val="both"/>
        <w:rPr>
          <w:rFonts w:ascii="Times New Roman" w:hAnsi="Times New Roman"/>
          <w:sz w:val="22"/>
          <w:szCs w:val="22"/>
        </w:rPr>
      </w:pPr>
      <w:r w:rsidRPr="004E7A79">
        <w:rPr>
          <w:rFonts w:ascii="Times New Roman" w:hAnsi="Times New Roman"/>
          <w:sz w:val="22"/>
          <w:szCs w:val="22"/>
        </w:rPr>
        <w:t>The contractor must provide or secure the provision of a reliable warranty guaranteeing maintenance and the parts replenishment for 1 (one) year after provisional acceptance.</w:t>
      </w:r>
    </w:p>
    <w:p w14:paraId="66D511B3" w14:textId="77777777" w:rsidR="00DF76D7" w:rsidRDefault="00DF76D7" w:rsidP="00DF76D7">
      <w:pPr>
        <w:widowControl w:val="0"/>
        <w:ind w:left="1134"/>
        <w:jc w:val="both"/>
        <w:rPr>
          <w:rFonts w:ascii="Times New Roman" w:hAnsi="Times New Roman"/>
          <w:sz w:val="22"/>
          <w:szCs w:val="22"/>
          <w:highlight w:val="yellow"/>
        </w:rPr>
      </w:pPr>
      <w:r w:rsidRPr="004E7A79">
        <w:rPr>
          <w:rFonts w:ascii="Times New Roman" w:hAnsi="Times New Roman"/>
          <w:sz w:val="22"/>
          <w:szCs w:val="22"/>
        </w:rPr>
        <w:t xml:space="preserve">Apart from the warranty provided by the contractor, unless stated otherwise </w:t>
      </w:r>
      <w:r>
        <w:rPr>
          <w:rFonts w:ascii="Times New Roman" w:hAnsi="Times New Roman"/>
          <w:sz w:val="22"/>
          <w:szCs w:val="22"/>
        </w:rPr>
        <w:t>in Article 32.7</w:t>
      </w:r>
      <w:r w:rsidRPr="004E7A79">
        <w:rPr>
          <w:rFonts w:ascii="Times New Roman" w:hAnsi="Times New Roman"/>
          <w:sz w:val="22"/>
          <w:szCs w:val="22"/>
        </w:rPr>
        <w:t xml:space="preserve"> all the equipment must have at least 2 (two) years of commercial warranty</w:t>
      </w:r>
      <w:r>
        <w:rPr>
          <w:rFonts w:ascii="Times New Roman" w:hAnsi="Times New Roman"/>
          <w:sz w:val="22"/>
          <w:szCs w:val="22"/>
        </w:rPr>
        <w:t xml:space="preserve"> in accordance </w:t>
      </w:r>
      <w:r w:rsidRPr="004E7A79">
        <w:rPr>
          <w:rFonts w:ascii="Times New Roman" w:hAnsi="Times New Roman"/>
          <w:sz w:val="22"/>
          <w:szCs w:val="22"/>
        </w:rPr>
        <w:t>with the provisions of the 07/11/2013 dated and 6502 numbered Turkish Law on Consumer Rights and relevant regulations.</w:t>
      </w:r>
    </w:p>
    <w:p w14:paraId="516F443D" w14:textId="78ABD5B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F86843">
        <w:rPr>
          <w:rFonts w:ascii="Times New Roman" w:hAnsi="Times New Roman"/>
          <w:sz w:val="22"/>
          <w:szCs w:val="22"/>
        </w:rPr>
        <w:t xml:space="preserve">The warranty must remain valid for </w:t>
      </w:r>
      <w:r w:rsidR="00F86843" w:rsidRPr="00F86843">
        <w:rPr>
          <w:rFonts w:ascii="Times New Roman" w:hAnsi="Times New Roman"/>
          <w:sz w:val="22"/>
          <w:szCs w:val="22"/>
        </w:rPr>
        <w:t>1</w:t>
      </w:r>
      <w:r w:rsidRPr="00F86843">
        <w:rPr>
          <w:rFonts w:ascii="Times New Roman" w:hAnsi="Times New Roman"/>
          <w:sz w:val="22"/>
          <w:szCs w:val="22"/>
        </w:rPr>
        <w:t xml:space="preserve"> </w:t>
      </w:r>
      <w:r w:rsidR="00F86843" w:rsidRPr="00F86843">
        <w:rPr>
          <w:rFonts w:ascii="Times New Roman" w:hAnsi="Times New Roman"/>
          <w:sz w:val="22"/>
          <w:szCs w:val="22"/>
        </w:rPr>
        <w:t>(</w:t>
      </w:r>
      <w:r w:rsidRPr="00F86843">
        <w:rPr>
          <w:rFonts w:ascii="Times New Roman" w:hAnsi="Times New Roman"/>
          <w:sz w:val="22"/>
          <w:szCs w:val="22"/>
        </w:rPr>
        <w:t>one</w:t>
      </w:r>
      <w:r w:rsidR="00F86843" w:rsidRPr="00F86843">
        <w:rPr>
          <w:rFonts w:ascii="Times New Roman" w:hAnsi="Times New Roman"/>
          <w:sz w:val="22"/>
          <w:szCs w:val="22"/>
        </w:rPr>
        <w:t>)</w:t>
      </w:r>
      <w:r w:rsidRPr="00F86843">
        <w:rPr>
          <w:rFonts w:ascii="Times New Roman" w:hAnsi="Times New Roman"/>
          <w:sz w:val="22"/>
          <w:szCs w:val="22"/>
        </w:rPr>
        <w:t xml:space="preserve"> year after provisional acceptance.</w:t>
      </w:r>
    </w:p>
    <w:p w14:paraId="3499C21C" w14:textId="6DC9B282" w:rsidR="0047783A" w:rsidRPr="003D6B6C" w:rsidRDefault="0047783A" w:rsidP="00B34179">
      <w:pPr>
        <w:spacing w:before="240"/>
        <w:ind w:left="1134" w:hanging="1134"/>
        <w:jc w:val="both"/>
        <w:rPr>
          <w:rFonts w:ascii="Times New Roman" w:hAnsi="Times New Roman"/>
          <w:b/>
          <w:sz w:val="24"/>
          <w:szCs w:val="24"/>
        </w:rPr>
      </w:pPr>
      <w:bookmarkStart w:id="24" w:name="_Toc119839451"/>
      <w:bookmarkStart w:id="25"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14:paraId="3C8BA3C1" w14:textId="06BB0530" w:rsidR="00D04EDD" w:rsidRDefault="00177A94" w:rsidP="00D04EDD">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bookmarkStart w:id="26" w:name="_Toc124934917"/>
      <w:r w:rsidR="00D04EDD">
        <w:rPr>
          <w:rFonts w:ascii="Times New Roman" w:hAnsi="Times New Roman"/>
          <w:sz w:val="22"/>
          <w:szCs w:val="22"/>
        </w:rPr>
        <w:t xml:space="preserve">After sales support services and spare parts will be available pursuant to provisions of the 07/11/2013 dated and 6502 numbered Turkish Law on Consumer Rights and relevant regulations (if applicable). </w:t>
      </w:r>
    </w:p>
    <w:p w14:paraId="060E3D5F" w14:textId="5B70D1B5" w:rsidR="0047783A" w:rsidRPr="003D6B6C" w:rsidRDefault="0047783A" w:rsidP="00D04EDD">
      <w:pPr>
        <w:jc w:val="both"/>
        <w:rPr>
          <w:rFonts w:ascii="Times New Roman" w:hAnsi="Times New Roman"/>
          <w:b/>
          <w:sz w:val="24"/>
          <w:szCs w:val="24"/>
        </w:rPr>
      </w:pPr>
      <w:r w:rsidRPr="003D6B6C">
        <w:rPr>
          <w:rFonts w:ascii="Times New Roman" w:hAnsi="Times New Roman"/>
          <w:b/>
          <w:sz w:val="24"/>
          <w:szCs w:val="24"/>
        </w:rPr>
        <w:lastRenderedPageBreak/>
        <w:t>Article 40</w:t>
      </w:r>
      <w:r w:rsidR="00D04EDD">
        <w:rPr>
          <w:rFonts w:ascii="Times New Roman" w:hAnsi="Times New Roman"/>
          <w:b/>
          <w:sz w:val="24"/>
          <w:szCs w:val="24"/>
        </w:rPr>
        <w:t xml:space="preserve">    </w:t>
      </w:r>
      <w:r w:rsidRPr="003D6B6C">
        <w:rPr>
          <w:rFonts w:ascii="Times New Roman" w:hAnsi="Times New Roman"/>
          <w:b/>
          <w:sz w:val="24"/>
          <w:szCs w:val="24"/>
        </w:rPr>
        <w:t>Settlement of disputes</w:t>
      </w:r>
      <w:bookmarkEnd w:id="26"/>
    </w:p>
    <w:p w14:paraId="0F81555E" w14:textId="0D68760C" w:rsidR="0047783A" w:rsidRPr="003D6B6C" w:rsidRDefault="0047783A" w:rsidP="00B5440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D04EDD" w:rsidRPr="00F012E3">
        <w:rPr>
          <w:rFonts w:ascii="Times New Roman" w:hAnsi="Times New Roman"/>
          <w:sz w:val="22"/>
          <w:szCs w:val="22"/>
        </w:rPr>
        <w:t>Any disputes arising out of or relating to this contract which cannot be settled otherwise shall be referred to the exclusive jurisdiction of Courts of Ankara in accordance with the national legislation of the state of the contracting authority.</w:t>
      </w:r>
    </w:p>
    <w:p w14:paraId="53F35545" w14:textId="6E94AA59" w:rsidR="00407C90" w:rsidRPr="00926172" w:rsidRDefault="00407C90" w:rsidP="00B5440B">
      <w:pPr>
        <w:keepNext/>
        <w:keepLines/>
        <w:tabs>
          <w:tab w:val="left" w:pos="1134"/>
        </w:tabs>
        <w:spacing w:before="240" w:after="0"/>
        <w:ind w:left="1134" w:hanging="1134"/>
        <w:rPr>
          <w:rFonts w:ascii="Times New Roman" w:hAnsi="Times New Roman"/>
          <w:b/>
          <w:sz w:val="24"/>
          <w:szCs w:val="24"/>
        </w:rPr>
      </w:pPr>
      <w:r w:rsidRPr="00926172">
        <w:rPr>
          <w:rFonts w:ascii="Times New Roman" w:hAnsi="Times New Roman"/>
          <w:b/>
          <w:sz w:val="24"/>
          <w:szCs w:val="24"/>
        </w:rPr>
        <w:t>Article 44</w:t>
      </w:r>
      <w:r w:rsidRPr="00926172">
        <w:rPr>
          <w:rFonts w:ascii="Times New Roman" w:hAnsi="Times New Roman"/>
          <w:b/>
          <w:sz w:val="24"/>
          <w:szCs w:val="24"/>
        </w:rPr>
        <w:tab/>
      </w:r>
      <w:r w:rsidR="00D04EDD" w:rsidRPr="00926172">
        <w:rPr>
          <w:rFonts w:ascii="Times New Roman" w:hAnsi="Times New Roman"/>
          <w:b/>
          <w:sz w:val="24"/>
          <w:szCs w:val="24"/>
        </w:rPr>
        <w:t xml:space="preserve"> </w:t>
      </w:r>
      <w:r w:rsidRPr="00926172">
        <w:rPr>
          <w:rFonts w:ascii="Times New Roman" w:hAnsi="Times New Roman"/>
          <w:b/>
          <w:sz w:val="24"/>
          <w:szCs w:val="24"/>
        </w:rPr>
        <w:t xml:space="preserve">Data </w:t>
      </w:r>
      <w:r w:rsidR="00686E07" w:rsidRPr="00926172">
        <w:rPr>
          <w:rFonts w:ascii="Times New Roman" w:hAnsi="Times New Roman"/>
          <w:b/>
          <w:sz w:val="24"/>
          <w:szCs w:val="24"/>
        </w:rPr>
        <w:t>p</w:t>
      </w:r>
      <w:r w:rsidRPr="00926172">
        <w:rPr>
          <w:rFonts w:ascii="Times New Roman" w:hAnsi="Times New Roman"/>
          <w:b/>
          <w:sz w:val="24"/>
          <w:szCs w:val="24"/>
        </w:rPr>
        <w:t>rotection</w:t>
      </w:r>
    </w:p>
    <w:p w14:paraId="21A6D968" w14:textId="7DAF6DD2" w:rsidR="00C05EBE" w:rsidRPr="00926172" w:rsidRDefault="00C05EBE" w:rsidP="00C05EBE">
      <w:pPr>
        <w:jc w:val="both"/>
        <w:rPr>
          <w:rFonts w:ascii="Times New Roman" w:hAnsi="Times New Roman"/>
          <w:sz w:val="22"/>
          <w:szCs w:val="22"/>
        </w:rPr>
      </w:pPr>
      <w:r w:rsidRPr="00926172">
        <w:rPr>
          <w:rFonts w:ascii="Times New Roman" w:hAnsi="Times New Roman"/>
          <w:sz w:val="22"/>
          <w:szCs w:val="22"/>
        </w:rPr>
        <w:t>For the purpose of</w:t>
      </w:r>
      <w:r w:rsidR="00CB5C1A" w:rsidRPr="00CB5C1A">
        <w:rPr>
          <w:rFonts w:ascii="Times New Roman" w:hAnsi="Times New Roman"/>
          <w:color w:val="0000FF"/>
          <w:sz w:val="22"/>
          <w:szCs w:val="22"/>
        </w:rPr>
        <w:t xml:space="preserve"> </w:t>
      </w:r>
      <w:r w:rsidRPr="00926172">
        <w:rPr>
          <w:rFonts w:ascii="Times New Roman" w:hAnsi="Times New Roman"/>
          <w:sz w:val="22"/>
          <w:szCs w:val="22"/>
          <w:lang w:eastAsia="en-GB"/>
        </w:rPr>
        <w:t xml:space="preserve">Article 44 of the </w:t>
      </w:r>
      <w:r w:rsidRPr="00926172">
        <w:rPr>
          <w:rFonts w:ascii="Times New Roman" w:hAnsi="Times New Roman"/>
          <w:sz w:val="22"/>
          <w:szCs w:val="22"/>
        </w:rPr>
        <w:t>general conditions, for the part of the data transferred by the contracting authority to the European Commission:</w:t>
      </w:r>
    </w:p>
    <w:p w14:paraId="18EF332A" w14:textId="53D1BD65" w:rsidR="00C05EBE" w:rsidRPr="00926172" w:rsidRDefault="00C05EBE" w:rsidP="00B5440B">
      <w:pPr>
        <w:ind w:left="426"/>
        <w:jc w:val="both"/>
        <w:rPr>
          <w:rFonts w:ascii="Times New Roman" w:hAnsi="Times New Roman"/>
          <w:sz w:val="22"/>
          <w:szCs w:val="22"/>
        </w:rPr>
      </w:pPr>
      <w:r w:rsidRPr="00926172">
        <w:rPr>
          <w:rFonts w:ascii="Times New Roman" w:hAnsi="Times New Roman"/>
          <w:sz w:val="22"/>
          <w:szCs w:val="22"/>
        </w:rPr>
        <w:t>(a)</w:t>
      </w:r>
      <w:r w:rsidR="005A123C" w:rsidRPr="00926172">
        <w:rPr>
          <w:rFonts w:ascii="Times New Roman" w:hAnsi="Times New Roman"/>
          <w:sz w:val="22"/>
          <w:szCs w:val="22"/>
        </w:rPr>
        <w:tab/>
      </w:r>
      <w:r w:rsidRPr="00926172">
        <w:rPr>
          <w:rFonts w:ascii="Times New Roman" w:hAnsi="Times New Roman"/>
          <w:sz w:val="22"/>
          <w:szCs w:val="22"/>
        </w:rPr>
        <w:t>the controller for the processing of personal data carried out within the Commission is</w:t>
      </w:r>
    </w:p>
    <w:p w14:paraId="7EE57030" w14:textId="02663106" w:rsidR="00C05EBE" w:rsidRPr="00926172" w:rsidRDefault="00C05EBE" w:rsidP="00B5440B">
      <w:pPr>
        <w:ind w:left="709"/>
        <w:jc w:val="both"/>
        <w:rPr>
          <w:rFonts w:ascii="Times New Roman" w:hAnsi="Times New Roman"/>
          <w:sz w:val="22"/>
          <w:szCs w:val="22"/>
        </w:rPr>
      </w:pPr>
      <w:r w:rsidRPr="00926172">
        <w:rPr>
          <w:rFonts w:ascii="Times New Roman" w:hAnsi="Times New Roman"/>
          <w:sz w:val="22"/>
          <w:szCs w:val="22"/>
        </w:rPr>
        <w:t xml:space="preserve">For DG </w:t>
      </w:r>
      <w:r w:rsidR="00CB5234" w:rsidRPr="00CB5234">
        <w:rPr>
          <w:rFonts w:ascii="Times New Roman" w:hAnsi="Times New Roman"/>
          <w:sz w:val="22"/>
          <w:szCs w:val="22"/>
        </w:rPr>
        <w:t xml:space="preserve">ENEST </w:t>
      </w:r>
      <w:r w:rsidRPr="00926172">
        <w:rPr>
          <w:rFonts w:ascii="Times New Roman" w:hAnsi="Times New Roman"/>
          <w:sz w:val="22"/>
          <w:szCs w:val="22"/>
        </w:rPr>
        <w:t xml:space="preserve">the head of contracts and finance unit R4 of </w:t>
      </w:r>
      <w:r w:rsidR="00CB5234" w:rsidRPr="00CB5234">
        <w:rPr>
          <w:rFonts w:ascii="Times New Roman" w:hAnsi="Times New Roman"/>
          <w:sz w:val="22"/>
          <w:szCs w:val="22"/>
        </w:rPr>
        <w:t>DG Enlargement and Eastern Neighbourhood.</w:t>
      </w:r>
    </w:p>
    <w:p w14:paraId="4CB26B0B" w14:textId="25737318" w:rsidR="00C05EBE" w:rsidRPr="0051770F" w:rsidRDefault="00786022" w:rsidP="00B5440B">
      <w:pPr>
        <w:spacing w:before="100" w:beforeAutospacing="1" w:after="100" w:afterAutospacing="1"/>
        <w:ind w:left="709" w:hanging="425"/>
        <w:rPr>
          <w:rFonts w:ascii="Times New Roman" w:hAnsi="Times New Roman"/>
          <w:color w:val="0563C1"/>
          <w:sz w:val="22"/>
          <w:szCs w:val="22"/>
          <w:u w:val="single"/>
          <w:lang w:val="sv-SE"/>
        </w:rPr>
      </w:pPr>
      <w:r>
        <w:rPr>
          <w:rFonts w:ascii="Times New Roman" w:hAnsi="Times New Roman"/>
          <w:sz w:val="22"/>
          <w:szCs w:val="22"/>
        </w:rPr>
        <w:t xml:space="preserve">   </w:t>
      </w:r>
      <w:r w:rsidR="00C05EBE" w:rsidRPr="00926172">
        <w:rPr>
          <w:rFonts w:ascii="Times New Roman" w:hAnsi="Times New Roman"/>
          <w:sz w:val="22"/>
          <w:szCs w:val="22"/>
        </w:rPr>
        <w:t>(b)</w:t>
      </w:r>
      <w:r w:rsidR="005A123C" w:rsidRPr="00926172">
        <w:rPr>
          <w:rFonts w:ascii="Times New Roman" w:hAnsi="Times New Roman"/>
          <w:sz w:val="22"/>
          <w:szCs w:val="22"/>
        </w:rPr>
        <w:tab/>
      </w:r>
      <w:r>
        <w:rPr>
          <w:rFonts w:ascii="Times New Roman" w:hAnsi="Times New Roman"/>
          <w:sz w:val="22"/>
          <w:szCs w:val="22"/>
        </w:rPr>
        <w:t xml:space="preserve"> </w:t>
      </w:r>
      <w:r w:rsidR="00C05EBE" w:rsidRPr="00926172">
        <w:rPr>
          <w:rFonts w:ascii="Times New Roman" w:hAnsi="Times New Roman"/>
          <w:sz w:val="22"/>
          <w:szCs w:val="22"/>
          <w:lang w:eastAsia="en-GB"/>
        </w:rPr>
        <w:t xml:space="preserve">the </w:t>
      </w:r>
      <w:r w:rsidR="00830347" w:rsidRPr="00926172">
        <w:rPr>
          <w:rFonts w:ascii="Times New Roman" w:hAnsi="Times New Roman"/>
          <w:sz w:val="22"/>
          <w:szCs w:val="22"/>
          <w:lang w:eastAsia="en-GB"/>
        </w:rPr>
        <w:t xml:space="preserve">privacy statement </w:t>
      </w:r>
      <w:r w:rsidR="00C05EBE" w:rsidRPr="00926172">
        <w:rPr>
          <w:rFonts w:ascii="Times New Roman" w:hAnsi="Times New Roman"/>
          <w:sz w:val="22"/>
          <w:szCs w:val="22"/>
          <w:lang w:eastAsia="en-GB"/>
        </w:rPr>
        <w:t>is available at</w:t>
      </w:r>
      <w:r w:rsidR="00C05EBE" w:rsidRPr="00926172">
        <w:rPr>
          <w:rFonts w:ascii="Times New Roman" w:hAnsi="Times New Roman"/>
          <w:sz w:val="22"/>
          <w:szCs w:val="22"/>
          <w:lang w:val="sv-SE"/>
        </w:rPr>
        <w:t xml:space="preserve"> </w:t>
      </w:r>
      <w:hyperlink r:id="rId13" w:anchor="Annexes-AnnexesA(Ch.2):General" w:history="1">
        <w:r w:rsidR="00C05EBE" w:rsidRPr="00926172">
          <w:rPr>
            <w:rFonts w:ascii="Times New Roman" w:hAnsi="Times New Roman"/>
            <w:color w:val="0000FF"/>
            <w:sz w:val="22"/>
            <w:szCs w:val="22"/>
            <w:u w:val="single"/>
            <w:lang w:val="sv-SE"/>
          </w:rPr>
          <w:t>https://wikis.ec.europa.eu/display/ExactExternalWiki/Annexes#Annexes-AnnexesA(Ch.2):General</w:t>
        </w:r>
      </w:hyperlink>
    </w:p>
    <w:p w14:paraId="5F3FDACE" w14:textId="0AF1FE39" w:rsidR="009F7E6A" w:rsidRPr="00D04EDD" w:rsidRDefault="009F7E6A" w:rsidP="00B5440B">
      <w:pPr>
        <w:ind w:left="567" w:hanging="567"/>
        <w:jc w:val="both"/>
        <w:rPr>
          <w:rFonts w:ascii="Times New Roman" w:hAnsi="Times New Roman"/>
          <w:sz w:val="22"/>
          <w:szCs w:val="22"/>
        </w:rPr>
      </w:pPr>
      <w:r w:rsidRPr="00D04EDD">
        <w:rPr>
          <w:rFonts w:ascii="Times New Roman" w:hAnsi="Times New Roman"/>
          <w:sz w:val="22"/>
          <w:szCs w:val="22"/>
        </w:rPr>
        <w:t>1.</w:t>
      </w:r>
      <w:r w:rsidR="005A123C" w:rsidRPr="00D04EDD">
        <w:rPr>
          <w:rFonts w:ascii="Times New Roman" w:hAnsi="Times New Roman"/>
          <w:sz w:val="22"/>
          <w:szCs w:val="22"/>
        </w:rPr>
        <w:tab/>
      </w:r>
      <w:r w:rsidRPr="00D04EDD">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332FE15" w:rsidR="009F7E6A" w:rsidRDefault="009F7E6A" w:rsidP="00B5440B">
      <w:pPr>
        <w:ind w:left="567" w:hanging="567"/>
        <w:jc w:val="both"/>
        <w:rPr>
          <w:rFonts w:ascii="Times New Roman" w:hAnsi="Times New Roman"/>
          <w:sz w:val="22"/>
          <w:szCs w:val="22"/>
        </w:rPr>
      </w:pPr>
      <w:r w:rsidRPr="00D04EDD">
        <w:rPr>
          <w:rFonts w:ascii="Times New Roman" w:hAnsi="Times New Roman"/>
          <w:sz w:val="22"/>
          <w:szCs w:val="22"/>
        </w:rPr>
        <w:t>2.</w:t>
      </w:r>
      <w:r w:rsidR="005A123C" w:rsidRPr="00D04EDD">
        <w:rPr>
          <w:rFonts w:ascii="Times New Roman" w:hAnsi="Times New Roman"/>
          <w:sz w:val="22"/>
          <w:szCs w:val="22"/>
        </w:rPr>
        <w:tab/>
      </w:r>
      <w:r w:rsidRPr="00D04EDD">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04EDD">
        <w:rPr>
          <w:rFonts w:ascii="Times New Roman" w:hAnsi="Times New Roman"/>
          <w:sz w:val="22"/>
          <w:szCs w:val="22"/>
        </w:rPr>
        <w:t>personnel</w:t>
      </w:r>
      <w:r w:rsidRPr="00D04EDD">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04EDD">
        <w:rPr>
          <w:rStyle w:val="FootnoteReference"/>
          <w:rFonts w:ascii="Times New Roman" w:hAnsi="Times New Roman"/>
          <w:sz w:val="22"/>
          <w:szCs w:val="22"/>
        </w:rPr>
        <w:footnoteReference w:id="4"/>
      </w:r>
      <w:r w:rsidRPr="00D04EDD">
        <w:rPr>
          <w:rFonts w:ascii="Times New Roman" w:hAnsi="Times New Roman"/>
          <w:sz w:val="22"/>
          <w:szCs w:val="22"/>
        </w:rPr>
        <w:t xml:space="preserve"> and as detailed in the specific privacy statement published at </w:t>
      </w:r>
      <w:proofErr w:type="spellStart"/>
      <w:r w:rsidRPr="00D04EDD">
        <w:rPr>
          <w:rFonts w:ascii="Times New Roman" w:hAnsi="Times New Roman"/>
          <w:sz w:val="22"/>
          <w:szCs w:val="22"/>
        </w:rPr>
        <w:t>ePRAG</w:t>
      </w:r>
      <w:proofErr w:type="spellEnd"/>
      <w:r w:rsidRPr="00D04EDD">
        <w:rPr>
          <w:rFonts w:ascii="Times New Roman" w:hAnsi="Times New Roman"/>
          <w:sz w:val="22"/>
          <w:szCs w:val="22"/>
        </w:rPr>
        <w:t>.</w:t>
      </w:r>
    </w:p>
    <w:p w14:paraId="0449EDC8" w14:textId="77777777" w:rsidR="00F86843" w:rsidRPr="00F4288C" w:rsidRDefault="00F86843" w:rsidP="00B5440B">
      <w:pPr>
        <w:ind w:left="567" w:hanging="567"/>
        <w:jc w:val="both"/>
        <w:rPr>
          <w:rFonts w:ascii="Times New Roman" w:hAnsi="Times New Roman"/>
          <w:sz w:val="22"/>
          <w:szCs w:val="22"/>
          <w:u w:val="single"/>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footerReference w:type="even" r:id="rId14"/>
      <w:footerReference w:type="default" r:id="rId15"/>
      <w:footerReference w:type="first" r:id="rId16"/>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C5B1" w14:textId="77777777" w:rsidR="003B63BD" w:rsidRPr="006A5F84" w:rsidRDefault="003B63BD">
      <w:r w:rsidRPr="006A5F84">
        <w:separator/>
      </w:r>
    </w:p>
  </w:endnote>
  <w:endnote w:type="continuationSeparator" w:id="0">
    <w:p w14:paraId="1FB5D777" w14:textId="77777777" w:rsidR="003B63BD" w:rsidRPr="006A5F84" w:rsidRDefault="003B63B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1F506" w14:textId="77777777" w:rsidR="003B63BD" w:rsidRPr="006A5F84" w:rsidRDefault="003B63BD">
      <w:r w:rsidRPr="006A5F84">
        <w:separator/>
      </w:r>
    </w:p>
  </w:footnote>
  <w:footnote w:type="continuationSeparator" w:id="0">
    <w:p w14:paraId="7962AC3F" w14:textId="77777777" w:rsidR="003B63BD" w:rsidRPr="006A5F84" w:rsidRDefault="003B63BD">
      <w:r w:rsidRPr="006A5F84">
        <w:continuationSeparator/>
      </w:r>
    </w:p>
  </w:footnote>
  <w:footnote w:id="1">
    <w:p w14:paraId="4DA177C6" w14:textId="77777777" w:rsidR="00240506" w:rsidRDefault="00240506" w:rsidP="00240506">
      <w:pPr>
        <w:rPr>
          <w:rFonts w:ascii="Times New Roman" w:hAnsi="Times New Roman"/>
          <w:sz w:val="18"/>
          <w:szCs w:val="18"/>
          <w:lang w:val="en-US"/>
        </w:rPr>
      </w:pPr>
      <w:r>
        <w:rPr>
          <w:rStyle w:val="FootnoteReference"/>
        </w:rPr>
        <w:footnoteRef/>
      </w:r>
      <w:r>
        <w:t xml:space="preserve"> </w:t>
      </w:r>
      <w:r>
        <w:rPr>
          <w:rFonts w:ascii="Times New Roman" w:hAnsi="Times New Roman"/>
          <w:sz w:val="18"/>
          <w:szCs w:val="18"/>
        </w:rPr>
        <w:t xml:space="preserve">DDP (Delivered Duty Paid) — Incoterms 2020 International Chamber of Commerce http://www.iccwbo.org/incoterms/ </w:t>
      </w:r>
    </w:p>
  </w:footnote>
  <w:footnote w:id="2">
    <w:p w14:paraId="04C99469" w14:textId="77777777" w:rsidR="008432DA" w:rsidRPr="00C73F87" w:rsidRDefault="008432DA" w:rsidP="008432DA">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3">
    <w:p w14:paraId="54CDEB8E" w14:textId="77777777" w:rsidR="00F90992" w:rsidRPr="000665DD" w:rsidRDefault="00F90992" w:rsidP="00F90992">
      <w:pPr>
        <w:pStyle w:val="FootnoteText"/>
        <w:rPr>
          <w:lang w:val="en-GB"/>
        </w:rPr>
      </w:pPr>
      <w:r w:rsidRPr="000665DD">
        <w:rPr>
          <w:rStyle w:val="FootnoteReference"/>
          <w:lang w:val="en-GB"/>
        </w:rPr>
        <w:footnoteRef/>
      </w:r>
      <w:r w:rsidRPr="000665DD">
        <w:rPr>
          <w:lang w:val="en-GB"/>
        </w:rPr>
        <w:tab/>
      </w:r>
      <w:bookmarkStart w:id="21" w:name="_Hlk167465553"/>
      <w:r w:rsidRPr="00AC2B23">
        <w:rPr>
          <w:lang w:val="en-GB"/>
        </w:rPr>
        <w:t xml:space="preserve">The first-prefinancing payment shall not be subject to the receipt of an invoice and no invoice is required. In case the use of the electronic exchange system under Article 4.4 of the special conditions is not activated, the contractor must send an invoice for the pre-financing payment. </w:t>
      </w:r>
      <w:bookmarkEnd w:id="21"/>
      <w:r w:rsidRPr="00AC2B23">
        <w:rPr>
          <w:lang w:val="en-GB"/>
        </w:rPr>
        <w:t>Otherwise, the first-prefinancing payment shall not be subject to the receipt of an invoice and no invoice is required.</w:t>
      </w:r>
    </w:p>
  </w:footnote>
  <w:footnote w:id="4">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0DDE"/>
    <w:multiLevelType w:val="multilevel"/>
    <w:tmpl w:val="49500C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C4ACB"/>
    <w:multiLevelType w:val="hybridMultilevel"/>
    <w:tmpl w:val="A24A9384"/>
    <w:lvl w:ilvl="0" w:tplc="041F0001">
      <w:start w:val="1"/>
      <w:numFmt w:val="bullet"/>
      <w:lvlText w:val=""/>
      <w:lvlJc w:val="left"/>
      <w:pPr>
        <w:ind w:left="1494" w:hanging="360"/>
      </w:pPr>
      <w:rPr>
        <w:rFonts w:ascii="Symbol" w:hAnsi="Symbol"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4"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68F3EC5"/>
    <w:multiLevelType w:val="hybridMultilevel"/>
    <w:tmpl w:val="AA5885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A0E41A2"/>
    <w:multiLevelType w:val="hybridMultilevel"/>
    <w:tmpl w:val="82F0D86E"/>
    <w:lvl w:ilvl="0" w:tplc="04090001">
      <w:start w:val="1"/>
      <w:numFmt w:val="bullet"/>
      <w:lvlText w:val=""/>
      <w:lvlJc w:val="left"/>
      <w:pPr>
        <w:ind w:left="2612" w:hanging="360"/>
      </w:pPr>
      <w:rPr>
        <w:rFonts w:ascii="Symbol" w:hAnsi="Symbol" w:hint="default"/>
      </w:rPr>
    </w:lvl>
    <w:lvl w:ilvl="1" w:tplc="04090003" w:tentative="1">
      <w:start w:val="1"/>
      <w:numFmt w:val="bullet"/>
      <w:lvlText w:val="o"/>
      <w:lvlJc w:val="left"/>
      <w:pPr>
        <w:ind w:left="3332" w:hanging="360"/>
      </w:pPr>
      <w:rPr>
        <w:rFonts w:ascii="Courier New" w:hAnsi="Courier New" w:cs="Courier New" w:hint="default"/>
      </w:rPr>
    </w:lvl>
    <w:lvl w:ilvl="2" w:tplc="04090005" w:tentative="1">
      <w:start w:val="1"/>
      <w:numFmt w:val="bullet"/>
      <w:lvlText w:val=""/>
      <w:lvlJc w:val="left"/>
      <w:pPr>
        <w:ind w:left="4052" w:hanging="360"/>
      </w:pPr>
      <w:rPr>
        <w:rFonts w:ascii="Wingdings" w:hAnsi="Wingdings" w:hint="default"/>
      </w:rPr>
    </w:lvl>
    <w:lvl w:ilvl="3" w:tplc="04090001" w:tentative="1">
      <w:start w:val="1"/>
      <w:numFmt w:val="bullet"/>
      <w:lvlText w:val=""/>
      <w:lvlJc w:val="left"/>
      <w:pPr>
        <w:ind w:left="4772" w:hanging="360"/>
      </w:pPr>
      <w:rPr>
        <w:rFonts w:ascii="Symbol" w:hAnsi="Symbol" w:hint="default"/>
      </w:rPr>
    </w:lvl>
    <w:lvl w:ilvl="4" w:tplc="04090003" w:tentative="1">
      <w:start w:val="1"/>
      <w:numFmt w:val="bullet"/>
      <w:lvlText w:val="o"/>
      <w:lvlJc w:val="left"/>
      <w:pPr>
        <w:ind w:left="5492" w:hanging="360"/>
      </w:pPr>
      <w:rPr>
        <w:rFonts w:ascii="Courier New" w:hAnsi="Courier New" w:cs="Courier New" w:hint="default"/>
      </w:rPr>
    </w:lvl>
    <w:lvl w:ilvl="5" w:tplc="04090005" w:tentative="1">
      <w:start w:val="1"/>
      <w:numFmt w:val="bullet"/>
      <w:lvlText w:val=""/>
      <w:lvlJc w:val="left"/>
      <w:pPr>
        <w:ind w:left="6212" w:hanging="360"/>
      </w:pPr>
      <w:rPr>
        <w:rFonts w:ascii="Wingdings" w:hAnsi="Wingdings" w:hint="default"/>
      </w:rPr>
    </w:lvl>
    <w:lvl w:ilvl="6" w:tplc="04090001" w:tentative="1">
      <w:start w:val="1"/>
      <w:numFmt w:val="bullet"/>
      <w:lvlText w:val=""/>
      <w:lvlJc w:val="left"/>
      <w:pPr>
        <w:ind w:left="6932" w:hanging="360"/>
      </w:pPr>
      <w:rPr>
        <w:rFonts w:ascii="Symbol" w:hAnsi="Symbol" w:hint="default"/>
      </w:rPr>
    </w:lvl>
    <w:lvl w:ilvl="7" w:tplc="04090003" w:tentative="1">
      <w:start w:val="1"/>
      <w:numFmt w:val="bullet"/>
      <w:lvlText w:val="o"/>
      <w:lvlJc w:val="left"/>
      <w:pPr>
        <w:ind w:left="7652" w:hanging="360"/>
      </w:pPr>
      <w:rPr>
        <w:rFonts w:ascii="Courier New" w:hAnsi="Courier New" w:cs="Courier New" w:hint="default"/>
      </w:rPr>
    </w:lvl>
    <w:lvl w:ilvl="8" w:tplc="04090005" w:tentative="1">
      <w:start w:val="1"/>
      <w:numFmt w:val="bullet"/>
      <w:lvlText w:val=""/>
      <w:lvlJc w:val="left"/>
      <w:pPr>
        <w:ind w:left="8372" w:hanging="360"/>
      </w:pPr>
      <w:rPr>
        <w:rFonts w:ascii="Wingdings" w:hAnsi="Wingding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7341184">
    <w:abstractNumId w:val="12"/>
  </w:num>
  <w:num w:numId="2" w16cid:durableId="52781961">
    <w:abstractNumId w:val="27"/>
  </w:num>
  <w:num w:numId="3" w16cid:durableId="1701316982">
    <w:abstractNumId w:val="11"/>
  </w:num>
  <w:num w:numId="4" w16cid:durableId="1465462225">
    <w:abstractNumId w:val="14"/>
  </w:num>
  <w:num w:numId="5" w16cid:durableId="1146821906">
    <w:abstractNumId w:val="29"/>
  </w:num>
  <w:num w:numId="6" w16cid:durableId="1460759002">
    <w:abstractNumId w:val="9"/>
  </w:num>
  <w:num w:numId="7" w16cid:durableId="1301377693">
    <w:abstractNumId w:val="6"/>
  </w:num>
  <w:num w:numId="8" w16cid:durableId="456996595">
    <w:abstractNumId w:val="2"/>
  </w:num>
  <w:num w:numId="9" w16cid:durableId="855195001">
    <w:abstractNumId w:val="15"/>
  </w:num>
  <w:num w:numId="10" w16cid:durableId="1648902557">
    <w:abstractNumId w:val="5"/>
  </w:num>
  <w:num w:numId="11" w16cid:durableId="527525152">
    <w:abstractNumId w:val="25"/>
  </w:num>
  <w:num w:numId="12" w16cid:durableId="2066635691">
    <w:abstractNumId w:val="13"/>
  </w:num>
  <w:num w:numId="13" w16cid:durableId="1621885820">
    <w:abstractNumId w:val="7"/>
  </w:num>
  <w:num w:numId="14" w16cid:durableId="1107315105">
    <w:abstractNumId w:val="22"/>
  </w:num>
  <w:num w:numId="15" w16cid:durableId="264266092">
    <w:abstractNumId w:val="23"/>
  </w:num>
  <w:num w:numId="16" w16cid:durableId="1102146250">
    <w:abstractNumId w:val="8"/>
  </w:num>
  <w:num w:numId="17" w16cid:durableId="1207793405">
    <w:abstractNumId w:val="18"/>
  </w:num>
  <w:num w:numId="18" w16cid:durableId="98112918">
    <w:abstractNumId w:val="10"/>
  </w:num>
  <w:num w:numId="19" w16cid:durableId="676809228">
    <w:abstractNumId w:val="4"/>
  </w:num>
  <w:num w:numId="20" w16cid:durableId="1481967879">
    <w:abstractNumId w:val="26"/>
  </w:num>
  <w:num w:numId="21" w16cid:durableId="882601822">
    <w:abstractNumId w:val="19"/>
  </w:num>
  <w:num w:numId="22" w16cid:durableId="1850631568">
    <w:abstractNumId w:val="17"/>
  </w:num>
  <w:num w:numId="23" w16cid:durableId="740952740">
    <w:abstractNumId w:val="1"/>
  </w:num>
  <w:num w:numId="24" w16cid:durableId="1313679530">
    <w:abstractNumId w:val="24"/>
  </w:num>
  <w:num w:numId="25" w16cid:durableId="139422065">
    <w:abstractNumId w:val="30"/>
  </w:num>
  <w:num w:numId="26" w16cid:durableId="398212078">
    <w:abstractNumId w:val="20"/>
  </w:num>
  <w:num w:numId="27" w16cid:durableId="911474880">
    <w:abstractNumId w:val="21"/>
  </w:num>
  <w:num w:numId="28" w16cid:durableId="1114204350">
    <w:abstractNumId w:val="3"/>
  </w:num>
  <w:num w:numId="29" w16cid:durableId="1976107088">
    <w:abstractNumId w:val="0"/>
  </w:num>
  <w:num w:numId="30" w16cid:durableId="61729865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14D9"/>
    <w:rsid w:val="000021E1"/>
    <w:rsid w:val="0000334D"/>
    <w:rsid w:val="00007C5B"/>
    <w:rsid w:val="00015C5E"/>
    <w:rsid w:val="00017CAA"/>
    <w:rsid w:val="00024A8F"/>
    <w:rsid w:val="00025C79"/>
    <w:rsid w:val="00026D9A"/>
    <w:rsid w:val="0003011B"/>
    <w:rsid w:val="00031560"/>
    <w:rsid w:val="00035AE5"/>
    <w:rsid w:val="00035D61"/>
    <w:rsid w:val="00040153"/>
    <w:rsid w:val="00040CF1"/>
    <w:rsid w:val="00041516"/>
    <w:rsid w:val="000417E2"/>
    <w:rsid w:val="00042EEB"/>
    <w:rsid w:val="00043159"/>
    <w:rsid w:val="0004517D"/>
    <w:rsid w:val="00051BCE"/>
    <w:rsid w:val="00051DD7"/>
    <w:rsid w:val="00056EAA"/>
    <w:rsid w:val="000574F3"/>
    <w:rsid w:val="00062BA9"/>
    <w:rsid w:val="00063C56"/>
    <w:rsid w:val="000662BA"/>
    <w:rsid w:val="000665DF"/>
    <w:rsid w:val="00066CBA"/>
    <w:rsid w:val="000714BB"/>
    <w:rsid w:val="000724EA"/>
    <w:rsid w:val="0007671B"/>
    <w:rsid w:val="00085CA1"/>
    <w:rsid w:val="00087F35"/>
    <w:rsid w:val="0009286D"/>
    <w:rsid w:val="00092A48"/>
    <w:rsid w:val="000964E2"/>
    <w:rsid w:val="0009746B"/>
    <w:rsid w:val="000A1A71"/>
    <w:rsid w:val="000A1D9C"/>
    <w:rsid w:val="000A3B36"/>
    <w:rsid w:val="000A3E2A"/>
    <w:rsid w:val="000A5F2B"/>
    <w:rsid w:val="000A6371"/>
    <w:rsid w:val="000A7359"/>
    <w:rsid w:val="000A7A2C"/>
    <w:rsid w:val="000B0983"/>
    <w:rsid w:val="000B1236"/>
    <w:rsid w:val="000B3D64"/>
    <w:rsid w:val="000B42BC"/>
    <w:rsid w:val="000B46A8"/>
    <w:rsid w:val="000B79F6"/>
    <w:rsid w:val="000C4AE6"/>
    <w:rsid w:val="000C709A"/>
    <w:rsid w:val="000D24E3"/>
    <w:rsid w:val="000D2B44"/>
    <w:rsid w:val="000D40DB"/>
    <w:rsid w:val="000E2CF4"/>
    <w:rsid w:val="000E7B75"/>
    <w:rsid w:val="000F1339"/>
    <w:rsid w:val="000F441C"/>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1EA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06A"/>
    <w:rsid w:val="001859A5"/>
    <w:rsid w:val="001864B6"/>
    <w:rsid w:val="00187253"/>
    <w:rsid w:val="00190077"/>
    <w:rsid w:val="001932AF"/>
    <w:rsid w:val="001937B4"/>
    <w:rsid w:val="001A0632"/>
    <w:rsid w:val="001A6941"/>
    <w:rsid w:val="001A6C79"/>
    <w:rsid w:val="001B1C76"/>
    <w:rsid w:val="001B4DA9"/>
    <w:rsid w:val="001B5454"/>
    <w:rsid w:val="001B55AC"/>
    <w:rsid w:val="001C4573"/>
    <w:rsid w:val="001C6897"/>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3863"/>
    <w:rsid w:val="002077B6"/>
    <w:rsid w:val="00207C2B"/>
    <w:rsid w:val="00210552"/>
    <w:rsid w:val="00211229"/>
    <w:rsid w:val="00211E0F"/>
    <w:rsid w:val="00216ADC"/>
    <w:rsid w:val="00216F0D"/>
    <w:rsid w:val="002209F1"/>
    <w:rsid w:val="00220BF7"/>
    <w:rsid w:val="00224C44"/>
    <w:rsid w:val="00225CDC"/>
    <w:rsid w:val="00227A8C"/>
    <w:rsid w:val="00230AB3"/>
    <w:rsid w:val="002320D8"/>
    <w:rsid w:val="00232677"/>
    <w:rsid w:val="00240506"/>
    <w:rsid w:val="00240B1F"/>
    <w:rsid w:val="002426D3"/>
    <w:rsid w:val="0024425D"/>
    <w:rsid w:val="002442B7"/>
    <w:rsid w:val="002455C7"/>
    <w:rsid w:val="0024725C"/>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C92"/>
    <w:rsid w:val="002D6EED"/>
    <w:rsid w:val="002E5532"/>
    <w:rsid w:val="002E569A"/>
    <w:rsid w:val="002F0BB0"/>
    <w:rsid w:val="002F1222"/>
    <w:rsid w:val="002F3C0E"/>
    <w:rsid w:val="0031140C"/>
    <w:rsid w:val="00317D86"/>
    <w:rsid w:val="00322263"/>
    <w:rsid w:val="0032422A"/>
    <w:rsid w:val="00324259"/>
    <w:rsid w:val="0032469B"/>
    <w:rsid w:val="003308C6"/>
    <w:rsid w:val="003316E3"/>
    <w:rsid w:val="0033212F"/>
    <w:rsid w:val="003323F5"/>
    <w:rsid w:val="003330F8"/>
    <w:rsid w:val="00335E06"/>
    <w:rsid w:val="003365C1"/>
    <w:rsid w:val="0033700A"/>
    <w:rsid w:val="0034022A"/>
    <w:rsid w:val="003409B8"/>
    <w:rsid w:val="003439C4"/>
    <w:rsid w:val="00345D44"/>
    <w:rsid w:val="00347B7E"/>
    <w:rsid w:val="003502E9"/>
    <w:rsid w:val="00351351"/>
    <w:rsid w:val="00360344"/>
    <w:rsid w:val="00360FB7"/>
    <w:rsid w:val="003613D2"/>
    <w:rsid w:val="00361AE1"/>
    <w:rsid w:val="00361AF6"/>
    <w:rsid w:val="0036422F"/>
    <w:rsid w:val="00371851"/>
    <w:rsid w:val="00371F01"/>
    <w:rsid w:val="003721AD"/>
    <w:rsid w:val="00372540"/>
    <w:rsid w:val="00382640"/>
    <w:rsid w:val="0038278E"/>
    <w:rsid w:val="0038357E"/>
    <w:rsid w:val="00384BAB"/>
    <w:rsid w:val="00384BFF"/>
    <w:rsid w:val="00384E02"/>
    <w:rsid w:val="00385FFC"/>
    <w:rsid w:val="00387C56"/>
    <w:rsid w:val="00390056"/>
    <w:rsid w:val="003915CC"/>
    <w:rsid w:val="00391C12"/>
    <w:rsid w:val="003925E9"/>
    <w:rsid w:val="0039277B"/>
    <w:rsid w:val="003933E2"/>
    <w:rsid w:val="00395823"/>
    <w:rsid w:val="003A1309"/>
    <w:rsid w:val="003A431E"/>
    <w:rsid w:val="003B63BD"/>
    <w:rsid w:val="003C084D"/>
    <w:rsid w:val="003C7266"/>
    <w:rsid w:val="003C7C3A"/>
    <w:rsid w:val="003D2078"/>
    <w:rsid w:val="003D3CAA"/>
    <w:rsid w:val="003D625C"/>
    <w:rsid w:val="003D6B6C"/>
    <w:rsid w:val="003D7611"/>
    <w:rsid w:val="003E2C83"/>
    <w:rsid w:val="003E5CA0"/>
    <w:rsid w:val="003E7C71"/>
    <w:rsid w:val="003F2FA4"/>
    <w:rsid w:val="003F3783"/>
    <w:rsid w:val="003F3B51"/>
    <w:rsid w:val="003F44B3"/>
    <w:rsid w:val="003F44DD"/>
    <w:rsid w:val="003F7AF5"/>
    <w:rsid w:val="003F7DB7"/>
    <w:rsid w:val="004019F9"/>
    <w:rsid w:val="0040221E"/>
    <w:rsid w:val="00403DCC"/>
    <w:rsid w:val="00404B02"/>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1B6"/>
    <w:rsid w:val="00483E26"/>
    <w:rsid w:val="0049088E"/>
    <w:rsid w:val="0049293D"/>
    <w:rsid w:val="00494168"/>
    <w:rsid w:val="00495347"/>
    <w:rsid w:val="004A0140"/>
    <w:rsid w:val="004A101E"/>
    <w:rsid w:val="004A6563"/>
    <w:rsid w:val="004A7ED9"/>
    <w:rsid w:val="004B7463"/>
    <w:rsid w:val="004C270A"/>
    <w:rsid w:val="004C35B5"/>
    <w:rsid w:val="004C3C82"/>
    <w:rsid w:val="004C6030"/>
    <w:rsid w:val="004C77A2"/>
    <w:rsid w:val="004D2FD8"/>
    <w:rsid w:val="004D33C9"/>
    <w:rsid w:val="004D7349"/>
    <w:rsid w:val="004E43B2"/>
    <w:rsid w:val="004E6141"/>
    <w:rsid w:val="004E6C5D"/>
    <w:rsid w:val="004F5C57"/>
    <w:rsid w:val="004F7A0E"/>
    <w:rsid w:val="005005D7"/>
    <w:rsid w:val="00501FF0"/>
    <w:rsid w:val="005047E0"/>
    <w:rsid w:val="00507AF2"/>
    <w:rsid w:val="00507BA0"/>
    <w:rsid w:val="00512BE8"/>
    <w:rsid w:val="00513C6F"/>
    <w:rsid w:val="00515D85"/>
    <w:rsid w:val="00516552"/>
    <w:rsid w:val="0051770F"/>
    <w:rsid w:val="0052039F"/>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E7145"/>
    <w:rsid w:val="005F3C51"/>
    <w:rsid w:val="005F5BBC"/>
    <w:rsid w:val="005F62D0"/>
    <w:rsid w:val="00602210"/>
    <w:rsid w:val="00607DDC"/>
    <w:rsid w:val="00611A73"/>
    <w:rsid w:val="006219A1"/>
    <w:rsid w:val="00623AB3"/>
    <w:rsid w:val="00626A2A"/>
    <w:rsid w:val="006311FE"/>
    <w:rsid w:val="0063123B"/>
    <w:rsid w:val="00631F9A"/>
    <w:rsid w:val="00633829"/>
    <w:rsid w:val="006342B1"/>
    <w:rsid w:val="00636E8F"/>
    <w:rsid w:val="00637C8F"/>
    <w:rsid w:val="006408AC"/>
    <w:rsid w:val="00640D24"/>
    <w:rsid w:val="00642E75"/>
    <w:rsid w:val="00651B07"/>
    <w:rsid w:val="0065595F"/>
    <w:rsid w:val="00655A60"/>
    <w:rsid w:val="006575A8"/>
    <w:rsid w:val="00661B3C"/>
    <w:rsid w:val="00661C07"/>
    <w:rsid w:val="0066519D"/>
    <w:rsid w:val="006670F0"/>
    <w:rsid w:val="00670223"/>
    <w:rsid w:val="00677500"/>
    <w:rsid w:val="0068247E"/>
    <w:rsid w:val="00683E34"/>
    <w:rsid w:val="00684801"/>
    <w:rsid w:val="006852BD"/>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C6972"/>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16E57"/>
    <w:rsid w:val="00720411"/>
    <w:rsid w:val="00722016"/>
    <w:rsid w:val="00724C93"/>
    <w:rsid w:val="00724D0C"/>
    <w:rsid w:val="00725082"/>
    <w:rsid w:val="007273F5"/>
    <w:rsid w:val="0073450F"/>
    <w:rsid w:val="007403DB"/>
    <w:rsid w:val="007520CA"/>
    <w:rsid w:val="0075384B"/>
    <w:rsid w:val="007552DC"/>
    <w:rsid w:val="00760195"/>
    <w:rsid w:val="007619D9"/>
    <w:rsid w:val="007625F7"/>
    <w:rsid w:val="00763299"/>
    <w:rsid w:val="00763B1C"/>
    <w:rsid w:val="0076610D"/>
    <w:rsid w:val="007666CD"/>
    <w:rsid w:val="00771A32"/>
    <w:rsid w:val="00772E0E"/>
    <w:rsid w:val="00775F12"/>
    <w:rsid w:val="00776BF7"/>
    <w:rsid w:val="00777E99"/>
    <w:rsid w:val="007858B9"/>
    <w:rsid w:val="00786022"/>
    <w:rsid w:val="00791DAC"/>
    <w:rsid w:val="00792A1B"/>
    <w:rsid w:val="00794EE6"/>
    <w:rsid w:val="00795949"/>
    <w:rsid w:val="00797C04"/>
    <w:rsid w:val="007A0045"/>
    <w:rsid w:val="007A1101"/>
    <w:rsid w:val="007A3D34"/>
    <w:rsid w:val="007A4758"/>
    <w:rsid w:val="007A67D6"/>
    <w:rsid w:val="007A6AF5"/>
    <w:rsid w:val="007B4853"/>
    <w:rsid w:val="007B65DB"/>
    <w:rsid w:val="007C0BDD"/>
    <w:rsid w:val="007C1656"/>
    <w:rsid w:val="007C6097"/>
    <w:rsid w:val="007C75E0"/>
    <w:rsid w:val="007D2072"/>
    <w:rsid w:val="007D5FA2"/>
    <w:rsid w:val="007D752C"/>
    <w:rsid w:val="007E0CD5"/>
    <w:rsid w:val="007E36E3"/>
    <w:rsid w:val="007E3D5F"/>
    <w:rsid w:val="007F4988"/>
    <w:rsid w:val="007F5DDE"/>
    <w:rsid w:val="007F6802"/>
    <w:rsid w:val="00805AEA"/>
    <w:rsid w:val="0080623C"/>
    <w:rsid w:val="00806CE0"/>
    <w:rsid w:val="00811F58"/>
    <w:rsid w:val="0081418B"/>
    <w:rsid w:val="008201BB"/>
    <w:rsid w:val="008214E2"/>
    <w:rsid w:val="008227A5"/>
    <w:rsid w:val="00822E7E"/>
    <w:rsid w:val="008272ED"/>
    <w:rsid w:val="00830347"/>
    <w:rsid w:val="00830BE9"/>
    <w:rsid w:val="00833EBD"/>
    <w:rsid w:val="00836C22"/>
    <w:rsid w:val="008413B3"/>
    <w:rsid w:val="008428B9"/>
    <w:rsid w:val="008432DA"/>
    <w:rsid w:val="00853F9D"/>
    <w:rsid w:val="00855409"/>
    <w:rsid w:val="0085667F"/>
    <w:rsid w:val="008617F3"/>
    <w:rsid w:val="0086688D"/>
    <w:rsid w:val="00866B17"/>
    <w:rsid w:val="00870FD6"/>
    <w:rsid w:val="00872DA7"/>
    <w:rsid w:val="008733D3"/>
    <w:rsid w:val="0087446B"/>
    <w:rsid w:val="008753AD"/>
    <w:rsid w:val="00876589"/>
    <w:rsid w:val="00876BA1"/>
    <w:rsid w:val="008808CB"/>
    <w:rsid w:val="0088419E"/>
    <w:rsid w:val="008847D1"/>
    <w:rsid w:val="00884DDE"/>
    <w:rsid w:val="00885882"/>
    <w:rsid w:val="008859E6"/>
    <w:rsid w:val="00886E8B"/>
    <w:rsid w:val="008870C9"/>
    <w:rsid w:val="0089085F"/>
    <w:rsid w:val="008923B0"/>
    <w:rsid w:val="00892CE9"/>
    <w:rsid w:val="008934F5"/>
    <w:rsid w:val="00894325"/>
    <w:rsid w:val="00896B2D"/>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43FD"/>
    <w:rsid w:val="00920A51"/>
    <w:rsid w:val="009220B3"/>
    <w:rsid w:val="00922542"/>
    <w:rsid w:val="00923EDA"/>
    <w:rsid w:val="009251E3"/>
    <w:rsid w:val="00925DBE"/>
    <w:rsid w:val="00926172"/>
    <w:rsid w:val="00930AD1"/>
    <w:rsid w:val="00935538"/>
    <w:rsid w:val="0093582A"/>
    <w:rsid w:val="009372A3"/>
    <w:rsid w:val="00945CA1"/>
    <w:rsid w:val="0094670B"/>
    <w:rsid w:val="00950B0C"/>
    <w:rsid w:val="009565EE"/>
    <w:rsid w:val="009679FA"/>
    <w:rsid w:val="0097513D"/>
    <w:rsid w:val="009803E5"/>
    <w:rsid w:val="00980A42"/>
    <w:rsid w:val="00983FDE"/>
    <w:rsid w:val="00986B1E"/>
    <w:rsid w:val="009976B3"/>
    <w:rsid w:val="009A0E33"/>
    <w:rsid w:val="009A3792"/>
    <w:rsid w:val="009A3A53"/>
    <w:rsid w:val="009A4F18"/>
    <w:rsid w:val="009A5CF3"/>
    <w:rsid w:val="009A69B2"/>
    <w:rsid w:val="009A7E29"/>
    <w:rsid w:val="009B0CF1"/>
    <w:rsid w:val="009B1095"/>
    <w:rsid w:val="009B1FBF"/>
    <w:rsid w:val="009B2F1F"/>
    <w:rsid w:val="009B422E"/>
    <w:rsid w:val="009B4D6F"/>
    <w:rsid w:val="009B5A6D"/>
    <w:rsid w:val="009B71DF"/>
    <w:rsid w:val="009C0E86"/>
    <w:rsid w:val="009D0375"/>
    <w:rsid w:val="009D2938"/>
    <w:rsid w:val="009D2E17"/>
    <w:rsid w:val="009D6A3D"/>
    <w:rsid w:val="009E4F6E"/>
    <w:rsid w:val="009E6BB7"/>
    <w:rsid w:val="009E7D59"/>
    <w:rsid w:val="009F22C3"/>
    <w:rsid w:val="009F3126"/>
    <w:rsid w:val="009F323B"/>
    <w:rsid w:val="009F5A0A"/>
    <w:rsid w:val="009F7E6A"/>
    <w:rsid w:val="00A039CA"/>
    <w:rsid w:val="00A04004"/>
    <w:rsid w:val="00A101C9"/>
    <w:rsid w:val="00A11551"/>
    <w:rsid w:val="00A11F12"/>
    <w:rsid w:val="00A13EB8"/>
    <w:rsid w:val="00A151FF"/>
    <w:rsid w:val="00A1746F"/>
    <w:rsid w:val="00A2645C"/>
    <w:rsid w:val="00A277E9"/>
    <w:rsid w:val="00A31EF5"/>
    <w:rsid w:val="00A3522F"/>
    <w:rsid w:val="00A4000D"/>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1DB5"/>
    <w:rsid w:val="00A845B1"/>
    <w:rsid w:val="00A87E3D"/>
    <w:rsid w:val="00A90875"/>
    <w:rsid w:val="00A91C81"/>
    <w:rsid w:val="00A9597C"/>
    <w:rsid w:val="00AA24A4"/>
    <w:rsid w:val="00AA3AAB"/>
    <w:rsid w:val="00AA4766"/>
    <w:rsid w:val="00AA5BB2"/>
    <w:rsid w:val="00AB26E0"/>
    <w:rsid w:val="00AB29A9"/>
    <w:rsid w:val="00AB3A36"/>
    <w:rsid w:val="00AB3AB0"/>
    <w:rsid w:val="00AB5ED5"/>
    <w:rsid w:val="00AB66A5"/>
    <w:rsid w:val="00AC1107"/>
    <w:rsid w:val="00AC11BF"/>
    <w:rsid w:val="00AC2621"/>
    <w:rsid w:val="00AC2B97"/>
    <w:rsid w:val="00AC35EA"/>
    <w:rsid w:val="00AC5207"/>
    <w:rsid w:val="00AC6D78"/>
    <w:rsid w:val="00AC7636"/>
    <w:rsid w:val="00AC7EEC"/>
    <w:rsid w:val="00AD1A3A"/>
    <w:rsid w:val="00AD372C"/>
    <w:rsid w:val="00AE0E38"/>
    <w:rsid w:val="00AE5192"/>
    <w:rsid w:val="00AE5504"/>
    <w:rsid w:val="00AE6600"/>
    <w:rsid w:val="00AE7D13"/>
    <w:rsid w:val="00AF3CAB"/>
    <w:rsid w:val="00AF4052"/>
    <w:rsid w:val="00AF47CA"/>
    <w:rsid w:val="00B003F6"/>
    <w:rsid w:val="00B0538B"/>
    <w:rsid w:val="00B05746"/>
    <w:rsid w:val="00B07102"/>
    <w:rsid w:val="00B1165D"/>
    <w:rsid w:val="00B12EB5"/>
    <w:rsid w:val="00B17A53"/>
    <w:rsid w:val="00B207DB"/>
    <w:rsid w:val="00B22470"/>
    <w:rsid w:val="00B24350"/>
    <w:rsid w:val="00B2488A"/>
    <w:rsid w:val="00B2499C"/>
    <w:rsid w:val="00B2529B"/>
    <w:rsid w:val="00B277E4"/>
    <w:rsid w:val="00B302D3"/>
    <w:rsid w:val="00B30528"/>
    <w:rsid w:val="00B3168E"/>
    <w:rsid w:val="00B34179"/>
    <w:rsid w:val="00B43944"/>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1EE0"/>
    <w:rsid w:val="00B83983"/>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B6732"/>
    <w:rsid w:val="00BC0A51"/>
    <w:rsid w:val="00BC3B75"/>
    <w:rsid w:val="00BC3B9D"/>
    <w:rsid w:val="00BC3D17"/>
    <w:rsid w:val="00BC6222"/>
    <w:rsid w:val="00BC743F"/>
    <w:rsid w:val="00BD1306"/>
    <w:rsid w:val="00BD1517"/>
    <w:rsid w:val="00BD19BA"/>
    <w:rsid w:val="00BD201F"/>
    <w:rsid w:val="00BD2F43"/>
    <w:rsid w:val="00BD3371"/>
    <w:rsid w:val="00BD727C"/>
    <w:rsid w:val="00BD72C6"/>
    <w:rsid w:val="00BE1011"/>
    <w:rsid w:val="00BE3FDF"/>
    <w:rsid w:val="00BE7F7F"/>
    <w:rsid w:val="00BF1A9A"/>
    <w:rsid w:val="00C01E30"/>
    <w:rsid w:val="00C04B88"/>
    <w:rsid w:val="00C05EB0"/>
    <w:rsid w:val="00C05EBE"/>
    <w:rsid w:val="00C117D7"/>
    <w:rsid w:val="00C12AF0"/>
    <w:rsid w:val="00C13C29"/>
    <w:rsid w:val="00C1524D"/>
    <w:rsid w:val="00C17310"/>
    <w:rsid w:val="00C20179"/>
    <w:rsid w:val="00C20F71"/>
    <w:rsid w:val="00C302E1"/>
    <w:rsid w:val="00C3235B"/>
    <w:rsid w:val="00C34E40"/>
    <w:rsid w:val="00C41328"/>
    <w:rsid w:val="00C41919"/>
    <w:rsid w:val="00C45D2B"/>
    <w:rsid w:val="00C52305"/>
    <w:rsid w:val="00C533BD"/>
    <w:rsid w:val="00C61312"/>
    <w:rsid w:val="00C70783"/>
    <w:rsid w:val="00C70E2C"/>
    <w:rsid w:val="00C720C8"/>
    <w:rsid w:val="00C73AAE"/>
    <w:rsid w:val="00C73F87"/>
    <w:rsid w:val="00C74605"/>
    <w:rsid w:val="00C75CCE"/>
    <w:rsid w:val="00C778A1"/>
    <w:rsid w:val="00C80DCF"/>
    <w:rsid w:val="00C8298B"/>
    <w:rsid w:val="00C846C9"/>
    <w:rsid w:val="00C84FFB"/>
    <w:rsid w:val="00C86004"/>
    <w:rsid w:val="00C86724"/>
    <w:rsid w:val="00C92434"/>
    <w:rsid w:val="00C94A76"/>
    <w:rsid w:val="00C9560E"/>
    <w:rsid w:val="00C95838"/>
    <w:rsid w:val="00CA1354"/>
    <w:rsid w:val="00CA1E77"/>
    <w:rsid w:val="00CA2B18"/>
    <w:rsid w:val="00CA3F76"/>
    <w:rsid w:val="00CA64BB"/>
    <w:rsid w:val="00CA6C68"/>
    <w:rsid w:val="00CB4122"/>
    <w:rsid w:val="00CB49CF"/>
    <w:rsid w:val="00CB5234"/>
    <w:rsid w:val="00CB5C1A"/>
    <w:rsid w:val="00CB616B"/>
    <w:rsid w:val="00CC189A"/>
    <w:rsid w:val="00CC7DE2"/>
    <w:rsid w:val="00CD3E4D"/>
    <w:rsid w:val="00CD68C0"/>
    <w:rsid w:val="00CD6FC9"/>
    <w:rsid w:val="00CD7F25"/>
    <w:rsid w:val="00CE0EED"/>
    <w:rsid w:val="00CE1966"/>
    <w:rsid w:val="00CF2DE2"/>
    <w:rsid w:val="00CF30C4"/>
    <w:rsid w:val="00CF6CFA"/>
    <w:rsid w:val="00D0091D"/>
    <w:rsid w:val="00D02E23"/>
    <w:rsid w:val="00D04EDD"/>
    <w:rsid w:val="00D11009"/>
    <w:rsid w:val="00D1250C"/>
    <w:rsid w:val="00D131B2"/>
    <w:rsid w:val="00D14292"/>
    <w:rsid w:val="00D17DAE"/>
    <w:rsid w:val="00D220ED"/>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BF1"/>
    <w:rsid w:val="00D66F04"/>
    <w:rsid w:val="00D678AC"/>
    <w:rsid w:val="00D71AF3"/>
    <w:rsid w:val="00D73DB8"/>
    <w:rsid w:val="00D75213"/>
    <w:rsid w:val="00D75E7A"/>
    <w:rsid w:val="00D7711A"/>
    <w:rsid w:val="00D82847"/>
    <w:rsid w:val="00D83918"/>
    <w:rsid w:val="00D83D1B"/>
    <w:rsid w:val="00D86B5F"/>
    <w:rsid w:val="00D90043"/>
    <w:rsid w:val="00D91D64"/>
    <w:rsid w:val="00D92D6A"/>
    <w:rsid w:val="00D93DB5"/>
    <w:rsid w:val="00D979C6"/>
    <w:rsid w:val="00DA4AB8"/>
    <w:rsid w:val="00DB1DFB"/>
    <w:rsid w:val="00DC1E80"/>
    <w:rsid w:val="00DC3D24"/>
    <w:rsid w:val="00DC50E2"/>
    <w:rsid w:val="00DC54A0"/>
    <w:rsid w:val="00DC6C9C"/>
    <w:rsid w:val="00DD0624"/>
    <w:rsid w:val="00DD0DDE"/>
    <w:rsid w:val="00DD13B0"/>
    <w:rsid w:val="00DD2B6E"/>
    <w:rsid w:val="00DD5838"/>
    <w:rsid w:val="00DE13B8"/>
    <w:rsid w:val="00DE6C49"/>
    <w:rsid w:val="00DE7055"/>
    <w:rsid w:val="00DE71AB"/>
    <w:rsid w:val="00DF7145"/>
    <w:rsid w:val="00DF7327"/>
    <w:rsid w:val="00DF7467"/>
    <w:rsid w:val="00DF76D7"/>
    <w:rsid w:val="00DF7EE0"/>
    <w:rsid w:val="00E0295D"/>
    <w:rsid w:val="00E0396B"/>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031"/>
    <w:rsid w:val="00E52467"/>
    <w:rsid w:val="00E52D98"/>
    <w:rsid w:val="00E5499A"/>
    <w:rsid w:val="00E54B1B"/>
    <w:rsid w:val="00E55D87"/>
    <w:rsid w:val="00E56600"/>
    <w:rsid w:val="00E571E1"/>
    <w:rsid w:val="00E60139"/>
    <w:rsid w:val="00E60A37"/>
    <w:rsid w:val="00E62221"/>
    <w:rsid w:val="00E62923"/>
    <w:rsid w:val="00E653F0"/>
    <w:rsid w:val="00E66C96"/>
    <w:rsid w:val="00E672EF"/>
    <w:rsid w:val="00E70FE6"/>
    <w:rsid w:val="00E730A5"/>
    <w:rsid w:val="00E74AE4"/>
    <w:rsid w:val="00E76535"/>
    <w:rsid w:val="00E811F3"/>
    <w:rsid w:val="00E83663"/>
    <w:rsid w:val="00E85F91"/>
    <w:rsid w:val="00E87498"/>
    <w:rsid w:val="00E87734"/>
    <w:rsid w:val="00E92577"/>
    <w:rsid w:val="00EA2492"/>
    <w:rsid w:val="00EA63E1"/>
    <w:rsid w:val="00EB0B9D"/>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EF70F1"/>
    <w:rsid w:val="00F017DE"/>
    <w:rsid w:val="00F02006"/>
    <w:rsid w:val="00F0405C"/>
    <w:rsid w:val="00F0574A"/>
    <w:rsid w:val="00F16179"/>
    <w:rsid w:val="00F17297"/>
    <w:rsid w:val="00F21266"/>
    <w:rsid w:val="00F215D8"/>
    <w:rsid w:val="00F30624"/>
    <w:rsid w:val="00F33149"/>
    <w:rsid w:val="00F33605"/>
    <w:rsid w:val="00F33A99"/>
    <w:rsid w:val="00F355C1"/>
    <w:rsid w:val="00F35D21"/>
    <w:rsid w:val="00F4288C"/>
    <w:rsid w:val="00F436C3"/>
    <w:rsid w:val="00F4528C"/>
    <w:rsid w:val="00F460CA"/>
    <w:rsid w:val="00F51D3D"/>
    <w:rsid w:val="00F53D3B"/>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6843"/>
    <w:rsid w:val="00F874CE"/>
    <w:rsid w:val="00F87ABC"/>
    <w:rsid w:val="00F87F88"/>
    <w:rsid w:val="00F90992"/>
    <w:rsid w:val="00F90A9F"/>
    <w:rsid w:val="00F91DF6"/>
    <w:rsid w:val="00F94745"/>
    <w:rsid w:val="00F947D5"/>
    <w:rsid w:val="00F952A4"/>
    <w:rsid w:val="00F962E3"/>
    <w:rsid w:val="00FA3F66"/>
    <w:rsid w:val="00FB2706"/>
    <w:rsid w:val="00FB3374"/>
    <w:rsid w:val="00FB67DE"/>
    <w:rsid w:val="00FC77A9"/>
    <w:rsid w:val="00FD1E84"/>
    <w:rsid w:val="00FD23CD"/>
    <w:rsid w:val="00FD2CFC"/>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1"/>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aliases w:val="Erzurum1,UEDAŞ Bullet,abc siralı,Normal List,Списък на абзаци"/>
    <w:basedOn w:val="Normal"/>
    <w:link w:val="ListParagraphChar"/>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 w:type="character" w:customStyle="1" w:styleId="ListParagraphChar">
    <w:name w:val="List Paragraph Char"/>
    <w:aliases w:val="Erzurum1 Char,UEDAŞ Bullet Char,abc siralı Char,Normal List Char,Списък на абзаци Char"/>
    <w:link w:val="ListParagraph"/>
    <w:uiPriority w:val="34"/>
    <w:qFormat/>
    <w:locked/>
    <w:rsid w:val="00FC77A9"/>
    <w:rPr>
      <w:rFonts w:ascii="Calibri" w:eastAsia="Calibri" w:hAnsi="Calibri"/>
      <w:sz w:val="22"/>
      <w:szCs w:val="22"/>
      <w:lang w:eastAsia="en-US"/>
    </w:rPr>
  </w:style>
  <w:style w:type="paragraph" w:styleId="NormalWeb">
    <w:name w:val="Normal (Web)"/>
    <w:basedOn w:val="Normal"/>
    <w:uiPriority w:val="99"/>
    <w:unhideWhenUsed/>
    <w:rsid w:val="0052039F"/>
    <w:pPr>
      <w:spacing w:before="100" w:beforeAutospacing="1" w:after="100" w:afterAutospacing="1"/>
    </w:pPr>
    <w:rPr>
      <w:rFonts w:ascii="Times New Roman" w:hAnsi="Times New Roman"/>
      <w:snapToGrid/>
      <w:sz w:val="24"/>
      <w:szCs w:val="24"/>
      <w:lang w:val="tr-TR" w:eastAsia="tr-TR"/>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Fußnote Char"/>
    <w:basedOn w:val="DefaultParagraphFont"/>
    <w:link w:val="FootnoteText"/>
    <w:uiPriority w:val="99"/>
    <w:rsid w:val="00F90992"/>
    <w:rPr>
      <w:snapToGrid w:val="0"/>
      <w:lang w:val="fr-FR" w:eastAsia="en-US"/>
    </w:rPr>
  </w:style>
  <w:style w:type="paragraph" w:customStyle="1" w:styleId="CharCharChar">
    <w:name w:val="Char Char Char"/>
    <w:basedOn w:val="Normal"/>
    <w:link w:val="FootnoteReference"/>
    <w:uiPriority w:val="99"/>
    <w:rsid w:val="00240506"/>
    <w:pPr>
      <w:spacing w:before="0" w:after="0" w:line="240" w:lineRule="exact"/>
    </w:pPr>
    <w:rPr>
      <w:rFonts w:ascii="Times New Roman" w:hAnsi="Times New Roman"/>
      <w:snapToGrid/>
      <w:vertAlign w:val="superscript"/>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19499692">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279649341">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576981551">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872034302">
      <w:bodyDiv w:val="1"/>
      <w:marLeft w:val="0"/>
      <w:marRight w:val="0"/>
      <w:marTop w:val="0"/>
      <w:marBottom w:val="0"/>
      <w:divBdr>
        <w:top w:val="none" w:sz="0" w:space="0" w:color="auto"/>
        <w:left w:val="none" w:sz="0" w:space="0" w:color="auto"/>
        <w:bottom w:val="none" w:sz="0" w:space="0" w:color="auto"/>
        <w:right w:val="none" w:sz="0" w:space="0" w:color="auto"/>
      </w:divBdr>
    </w:div>
    <w:div w:id="974796671">
      <w:bodyDiv w:val="1"/>
      <w:marLeft w:val="0"/>
      <w:marRight w:val="0"/>
      <w:marTop w:val="0"/>
      <w:marBottom w:val="0"/>
      <w:divBdr>
        <w:top w:val="none" w:sz="0" w:space="0" w:color="auto"/>
        <w:left w:val="none" w:sz="0" w:space="0" w:color="auto"/>
        <w:bottom w:val="none" w:sz="0" w:space="0" w:color="auto"/>
        <w:right w:val="none" w:sz="0" w:space="0" w:color="auto"/>
      </w:divBdr>
    </w:div>
    <w:div w:id="1056776644">
      <w:bodyDiv w:val="1"/>
      <w:marLeft w:val="0"/>
      <w:marRight w:val="0"/>
      <w:marTop w:val="0"/>
      <w:marBottom w:val="0"/>
      <w:divBdr>
        <w:top w:val="none" w:sz="0" w:space="0" w:color="auto"/>
        <w:left w:val="none" w:sz="0" w:space="0" w:color="auto"/>
        <w:bottom w:val="none" w:sz="0" w:space="0" w:color="auto"/>
        <w:right w:val="none" w:sz="0" w:space="0" w:color="auto"/>
      </w:divBdr>
    </w:div>
    <w:div w:id="1564557651">
      <w:bodyDiv w:val="1"/>
      <w:marLeft w:val="0"/>
      <w:marRight w:val="0"/>
      <w:marTop w:val="0"/>
      <w:marBottom w:val="0"/>
      <w:divBdr>
        <w:top w:val="none" w:sz="0" w:space="0" w:color="auto"/>
        <w:left w:val="none" w:sz="0" w:space="0" w:color="auto"/>
        <w:bottom w:val="none" w:sz="0" w:space="0" w:color="auto"/>
        <w:right w:val="none" w:sz="0" w:space="0" w:color="auto"/>
      </w:divBdr>
    </w:div>
    <w:div w:id="1727414461">
      <w:bodyDiv w:val="1"/>
      <w:marLeft w:val="0"/>
      <w:marRight w:val="0"/>
      <w:marTop w:val="0"/>
      <w:marBottom w:val="0"/>
      <w:divBdr>
        <w:top w:val="none" w:sz="0" w:space="0" w:color="auto"/>
        <w:left w:val="none" w:sz="0" w:space="0" w:color="auto"/>
        <w:bottom w:val="none" w:sz="0" w:space="0" w:color="auto"/>
        <w:right w:val="none" w:sz="0" w:space="0" w:color="auto"/>
      </w:divBdr>
    </w:div>
    <w:div w:id="2046444920">
      <w:bodyDiv w:val="1"/>
      <w:marLeft w:val="0"/>
      <w:marRight w:val="0"/>
      <w:marTop w:val="0"/>
      <w:marBottom w:val="0"/>
      <w:divBdr>
        <w:top w:val="none" w:sz="0" w:space="0" w:color="auto"/>
        <w:left w:val="none" w:sz="0" w:space="0" w:color="auto"/>
        <w:bottom w:val="none" w:sz="0" w:space="0" w:color="auto"/>
        <w:right w:val="none" w:sz="0" w:space="0" w:color="auto"/>
      </w:divBdr>
    </w:div>
    <w:div w:id="206702947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uid@uab.gov.tr" TargetMode="External"/><Relationship Id="rId13" Type="http://schemas.openxmlformats.org/officeDocument/2006/relationships/hyperlink" Target="https://wikis.ec.europa.eu/display/ExactExternalWiki/Annex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eas.europa.eu/delegations/t%C3%BCrkiye/visibility-guidelines-clarification-2022-guidelines-communicating-and-raising-eu-visibility_en" TargetMode="External"/><Relationship Id="rId4" Type="http://schemas.openxmlformats.org/officeDocument/2006/relationships/settings" Target="settings.xml"/><Relationship Id="rId9" Type="http://schemas.openxmlformats.org/officeDocument/2006/relationships/hyperlink" Target="https://international-partnerships.ec.europa.eu/knowledge-hub/communicating-and-raising-eu-visibility-guidance-external-actions_en"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3296</Words>
  <Characters>18790</Characters>
  <Application>Microsoft Office Word</Application>
  <DocSecurity>0</DocSecurity>
  <Lines>156</Lines>
  <Paragraphs>44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22042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BERKMAN Umut (EEAS-ANKARA)</cp:lastModifiedBy>
  <cp:revision>2</cp:revision>
  <cp:lastPrinted>2014-02-11T14:32:00Z</cp:lastPrinted>
  <dcterms:created xsi:type="dcterms:W3CDTF">2025-12-18T12:21:00Z</dcterms:created>
  <dcterms:modified xsi:type="dcterms:W3CDTF">2025-12-18T12:21:00Z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y fmtid="{D5CDD505-2E9C-101B-9397-08002B2CF9AE}" pid="10" name="GrammarlyDocumentId">
    <vt:lpwstr>435c30bfc1c5f4e98adf0560eebafa32316337af3ca456cd04eaea608a32c058</vt:lpwstr>
  </property>
</Properties>
</file>